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59B3" w:rsidRPr="00A81C22" w:rsidRDefault="005C59B3" w:rsidP="005C59B3">
      <w:pPr>
        <w:autoSpaceDE w:val="0"/>
        <w:autoSpaceDN w:val="0"/>
        <w:adjustRightInd w:val="0"/>
        <w:jc w:val="center"/>
        <w:rPr>
          <w:rFonts w:ascii="Arial" w:hAnsi="Arial" w:cs="Arial"/>
          <w:b/>
          <w:bCs/>
        </w:rPr>
      </w:pPr>
      <w:r>
        <w:rPr>
          <w:rFonts w:ascii="Arial" w:eastAsia="Calibri" w:hAnsi="Arial" w:cs="Arial"/>
          <w:b/>
          <w:color w:val="000000"/>
          <w:sz w:val="21"/>
          <w:szCs w:val="21"/>
        </w:rPr>
        <w:tab/>
      </w:r>
      <w:r>
        <w:rPr>
          <w:rFonts w:ascii="Arial" w:eastAsia="Calibri" w:hAnsi="Arial" w:cs="Arial"/>
          <w:b/>
          <w:color w:val="000000"/>
          <w:sz w:val="21"/>
          <w:szCs w:val="21"/>
        </w:rPr>
        <w:tab/>
      </w:r>
      <w:r>
        <w:rPr>
          <w:rFonts w:ascii="Arial" w:eastAsia="Calibri" w:hAnsi="Arial" w:cs="Arial"/>
          <w:b/>
          <w:color w:val="000000"/>
          <w:sz w:val="21"/>
          <w:szCs w:val="21"/>
        </w:rPr>
        <w:tab/>
      </w:r>
      <w:r>
        <w:rPr>
          <w:rFonts w:ascii="Arial" w:eastAsia="Calibri" w:hAnsi="Arial" w:cs="Arial"/>
          <w:b/>
          <w:color w:val="000000"/>
          <w:sz w:val="21"/>
          <w:szCs w:val="21"/>
        </w:rPr>
        <w:tab/>
      </w:r>
      <w:r>
        <w:rPr>
          <w:rFonts w:ascii="Arial" w:eastAsia="Calibri" w:hAnsi="Arial" w:cs="Arial"/>
          <w:b/>
          <w:color w:val="000000"/>
          <w:sz w:val="21"/>
          <w:szCs w:val="21"/>
        </w:rPr>
        <w:tab/>
      </w:r>
    </w:p>
    <w:p w:rsidR="005C59B3" w:rsidRPr="009068EF" w:rsidRDefault="005C59B3" w:rsidP="005C59B3">
      <w:pPr>
        <w:autoSpaceDE w:val="0"/>
        <w:autoSpaceDN w:val="0"/>
        <w:adjustRightInd w:val="0"/>
        <w:jc w:val="center"/>
        <w:rPr>
          <w:rFonts w:ascii="Arial" w:hAnsi="Arial" w:cs="Arial"/>
          <w:b/>
          <w:bCs/>
        </w:rPr>
      </w:pPr>
      <w:r w:rsidRPr="009068EF">
        <w:rPr>
          <w:rFonts w:ascii="Arial" w:hAnsi="Arial" w:cs="Arial"/>
          <w:b/>
          <w:bCs/>
          <w:noProof/>
          <w:lang w:val="ms-MY" w:eastAsia="ms-MY"/>
        </w:rPr>
        <w:drawing>
          <wp:inline distT="0" distB="0" distL="0" distR="0" wp14:anchorId="2256FE6F" wp14:editId="7E6BADDB">
            <wp:extent cx="3769995" cy="1449070"/>
            <wp:effectExtent l="0" t="0" r="1905" b="0"/>
            <wp:docPr id="3" name="Picture 3" descr="ifsb logo text jpeg file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fsb logo text jpeg file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69995" cy="1449070"/>
                    </a:xfrm>
                    <a:prstGeom prst="rect">
                      <a:avLst/>
                    </a:prstGeom>
                    <a:noFill/>
                    <a:ln>
                      <a:noFill/>
                    </a:ln>
                  </pic:spPr>
                </pic:pic>
              </a:graphicData>
            </a:graphic>
          </wp:inline>
        </w:drawing>
      </w:r>
    </w:p>
    <w:p w:rsidR="005C59B3" w:rsidRPr="009068EF" w:rsidRDefault="005C59B3" w:rsidP="005C59B3">
      <w:pPr>
        <w:autoSpaceDE w:val="0"/>
        <w:autoSpaceDN w:val="0"/>
        <w:adjustRightInd w:val="0"/>
        <w:jc w:val="center"/>
        <w:outlineLvl w:val="0"/>
        <w:rPr>
          <w:rFonts w:ascii="Arial" w:hAnsi="Arial" w:cs="Arial"/>
          <w:b/>
          <w:bCs/>
        </w:rPr>
      </w:pPr>
    </w:p>
    <w:p w:rsidR="005C59B3" w:rsidRPr="009068EF" w:rsidRDefault="005C59B3" w:rsidP="005C59B3">
      <w:pPr>
        <w:autoSpaceDE w:val="0"/>
        <w:autoSpaceDN w:val="0"/>
        <w:adjustRightInd w:val="0"/>
        <w:jc w:val="center"/>
        <w:rPr>
          <w:rFonts w:ascii="Arial" w:hAnsi="Arial" w:cs="Arial"/>
          <w:b/>
          <w:bCs/>
        </w:rPr>
      </w:pPr>
    </w:p>
    <w:p w:rsidR="005C59B3" w:rsidRPr="009068EF" w:rsidRDefault="005C59B3" w:rsidP="005C59B3">
      <w:pPr>
        <w:autoSpaceDE w:val="0"/>
        <w:autoSpaceDN w:val="0"/>
        <w:adjustRightInd w:val="0"/>
        <w:jc w:val="center"/>
        <w:rPr>
          <w:rFonts w:ascii="Arial" w:hAnsi="Arial" w:cs="Arial"/>
          <w:b/>
          <w:bCs/>
        </w:rPr>
      </w:pPr>
      <w:r w:rsidRPr="009068EF">
        <w:rPr>
          <w:rFonts w:ascii="Arial" w:hAnsi="Arial" w:cs="Arial"/>
          <w:b/>
          <w:bCs/>
          <w:noProof/>
          <w:lang w:val="ms-MY" w:eastAsia="ms-MY"/>
        </w:rPr>
        <mc:AlternateContent>
          <mc:Choice Requires="wps">
            <w:drawing>
              <wp:anchor distT="0" distB="0" distL="114300" distR="114300" simplePos="0" relativeHeight="251659264" behindDoc="0" locked="0" layoutInCell="1" allowOverlap="1" wp14:anchorId="03F999FB" wp14:editId="1994E98F">
                <wp:simplePos x="0" y="0"/>
                <wp:positionH relativeFrom="column">
                  <wp:posOffset>221615</wp:posOffset>
                </wp:positionH>
                <wp:positionV relativeFrom="paragraph">
                  <wp:posOffset>100330</wp:posOffset>
                </wp:positionV>
                <wp:extent cx="4789715" cy="169545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89715" cy="1695450"/>
                        </a:xfrm>
                        <a:prstGeom prst="rect">
                          <a:avLst/>
                        </a:prstGeom>
                        <a:solidFill>
                          <a:schemeClr val="accent3">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74F4F" w:rsidRDefault="00A74F4F" w:rsidP="00A74F4F">
                            <w:pPr>
                              <w:autoSpaceDE w:val="0"/>
                              <w:autoSpaceDN w:val="0"/>
                              <w:adjustRightInd w:val="0"/>
                              <w:spacing w:line="240" w:lineRule="atLeast"/>
                              <w:jc w:val="center"/>
                              <w:rPr>
                                <w:rFonts w:ascii="Arial" w:hAnsi="Arial" w:cs="Arial"/>
                                <w:b/>
                                <w:bCs/>
                                <w:color w:val="002060"/>
                                <w:sz w:val="28"/>
                                <w:szCs w:val="28"/>
                              </w:rPr>
                            </w:pPr>
                            <w:bookmarkStart w:id="0" w:name="_GoBack"/>
                            <w:r>
                              <w:rPr>
                                <w:rFonts w:ascii="Arial" w:hAnsi="Arial" w:cs="Arial"/>
                                <w:b/>
                                <w:bCs/>
                                <w:color w:val="002060"/>
                                <w:sz w:val="28"/>
                                <w:szCs w:val="28"/>
                              </w:rPr>
                              <w:t>SET B (</w:t>
                            </w:r>
                            <w:r w:rsidRPr="00A74F4F">
                              <w:rPr>
                                <w:rFonts w:ascii="Arial" w:hAnsi="Arial" w:cs="Arial"/>
                                <w:b/>
                                <w:bCs/>
                                <w:color w:val="002060"/>
                                <w:sz w:val="28"/>
                                <w:szCs w:val="28"/>
                              </w:rPr>
                              <w:t>Market Players and Investors</w:t>
                            </w:r>
                            <w:r>
                              <w:rPr>
                                <w:rFonts w:ascii="Arial" w:hAnsi="Arial" w:cs="Arial"/>
                                <w:b/>
                                <w:bCs/>
                                <w:color w:val="002060"/>
                                <w:sz w:val="28"/>
                                <w:szCs w:val="28"/>
                              </w:rPr>
                              <w:t>)</w:t>
                            </w:r>
                          </w:p>
                          <w:p w:rsidR="00A74F4F" w:rsidRDefault="00A74F4F" w:rsidP="00A74F4F">
                            <w:pPr>
                              <w:autoSpaceDE w:val="0"/>
                              <w:autoSpaceDN w:val="0"/>
                              <w:adjustRightInd w:val="0"/>
                              <w:spacing w:line="240" w:lineRule="atLeast"/>
                              <w:jc w:val="center"/>
                              <w:rPr>
                                <w:rFonts w:ascii="Arial" w:hAnsi="Arial" w:cs="Arial"/>
                                <w:b/>
                                <w:bCs/>
                                <w:color w:val="002060"/>
                                <w:sz w:val="28"/>
                                <w:szCs w:val="28"/>
                              </w:rPr>
                            </w:pPr>
                          </w:p>
                          <w:p w:rsidR="005C59B3" w:rsidRPr="00F12878" w:rsidRDefault="005C59B3" w:rsidP="00A74F4F">
                            <w:pPr>
                              <w:autoSpaceDE w:val="0"/>
                              <w:autoSpaceDN w:val="0"/>
                              <w:adjustRightInd w:val="0"/>
                              <w:spacing w:line="240" w:lineRule="atLeast"/>
                              <w:jc w:val="center"/>
                              <w:rPr>
                                <w:rFonts w:ascii="Arial" w:hAnsi="Arial" w:cs="Arial"/>
                                <w:b/>
                                <w:bCs/>
                                <w:color w:val="002060"/>
                                <w:sz w:val="28"/>
                                <w:szCs w:val="28"/>
                              </w:rPr>
                            </w:pPr>
                            <w:r w:rsidRPr="00F12878">
                              <w:rPr>
                                <w:rFonts w:ascii="Arial" w:hAnsi="Arial" w:cs="Arial"/>
                                <w:b/>
                                <w:bCs/>
                                <w:color w:val="002060"/>
                                <w:sz w:val="28"/>
                                <w:szCs w:val="28"/>
                              </w:rPr>
                              <w:t>SURVEY QUESTIONNAIRE ON</w:t>
                            </w:r>
                          </w:p>
                          <w:p w:rsidR="005C59B3" w:rsidRPr="00B93A1A" w:rsidRDefault="005C59B3" w:rsidP="005C59B3">
                            <w:pPr>
                              <w:spacing w:line="240" w:lineRule="atLeast"/>
                              <w:jc w:val="center"/>
                              <w:rPr>
                                <w:rFonts w:ascii="Arial" w:hAnsi="Arial" w:cs="Arial"/>
                                <w:b/>
                                <w:bCs/>
                                <w:color w:val="002060"/>
                                <w:sz w:val="40"/>
                                <w:szCs w:val="28"/>
                              </w:rPr>
                            </w:pPr>
                            <w:r w:rsidRPr="00B93A1A">
                              <w:rPr>
                                <w:rFonts w:ascii="Arial" w:hAnsi="Arial" w:cs="Arial"/>
                                <w:b/>
                                <w:bCs/>
                                <w:color w:val="002060"/>
                                <w:sz w:val="40"/>
                                <w:szCs w:val="28"/>
                              </w:rPr>
                              <w:t>INVESTOR PROTECTION IN ISLAMIC CAPITAL MARKETS</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3F999FB" id="Rectangle 1" o:spid="_x0000_s1026" style="position:absolute;left:0;text-align:left;margin-left:17.45pt;margin-top:7.9pt;width:377.15pt;height:1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" fillcolor="#dbdbdb [1302]" stroked="f" strokeweight="1pt">
                <v:path arrowok="t"/>
                <v:textbox>
                  <w:txbxContent>
                    <w:p w:rsidR="00A74F4F" w:rsidRDefault="00A74F4F" w:rsidP="00A74F4F">
                      <w:pPr>
                        <w:autoSpaceDE w:val="0"/>
                        <w:autoSpaceDN w:val="0"/>
                        <w:adjustRightInd w:val="0"/>
                        <w:spacing w:line="240" w:lineRule="atLeast"/>
                        <w:jc w:val="center"/>
                        <w:rPr>
                          <w:rFonts w:ascii="Arial" w:hAnsi="Arial" w:cs="Arial"/>
                          <w:b/>
                          <w:bCs/>
                          <w:color w:val="002060"/>
                          <w:sz w:val="28"/>
                          <w:szCs w:val="28"/>
                        </w:rPr>
                      </w:pPr>
                      <w:bookmarkStart w:id="1" w:name="_GoBack"/>
                      <w:r>
                        <w:rPr>
                          <w:rFonts w:ascii="Arial" w:hAnsi="Arial" w:cs="Arial"/>
                          <w:b/>
                          <w:bCs/>
                          <w:color w:val="002060"/>
                          <w:sz w:val="28"/>
                          <w:szCs w:val="28"/>
                        </w:rPr>
                        <w:t>SET B (</w:t>
                      </w:r>
                      <w:r w:rsidRPr="00A74F4F">
                        <w:rPr>
                          <w:rFonts w:ascii="Arial" w:hAnsi="Arial" w:cs="Arial"/>
                          <w:b/>
                          <w:bCs/>
                          <w:color w:val="002060"/>
                          <w:sz w:val="28"/>
                          <w:szCs w:val="28"/>
                        </w:rPr>
                        <w:t>Market Players and Investors</w:t>
                      </w:r>
                      <w:r>
                        <w:rPr>
                          <w:rFonts w:ascii="Arial" w:hAnsi="Arial" w:cs="Arial"/>
                          <w:b/>
                          <w:bCs/>
                          <w:color w:val="002060"/>
                          <w:sz w:val="28"/>
                          <w:szCs w:val="28"/>
                        </w:rPr>
                        <w:t>)</w:t>
                      </w:r>
                    </w:p>
                    <w:p w:rsidR="00A74F4F" w:rsidRDefault="00A74F4F" w:rsidP="00A74F4F">
                      <w:pPr>
                        <w:autoSpaceDE w:val="0"/>
                        <w:autoSpaceDN w:val="0"/>
                        <w:adjustRightInd w:val="0"/>
                        <w:spacing w:line="240" w:lineRule="atLeast"/>
                        <w:jc w:val="center"/>
                        <w:rPr>
                          <w:rFonts w:ascii="Arial" w:hAnsi="Arial" w:cs="Arial"/>
                          <w:b/>
                          <w:bCs/>
                          <w:color w:val="002060"/>
                          <w:sz w:val="28"/>
                          <w:szCs w:val="28"/>
                        </w:rPr>
                      </w:pPr>
                    </w:p>
                    <w:p w:rsidR="005C59B3" w:rsidRPr="00F12878" w:rsidRDefault="005C59B3" w:rsidP="00A74F4F">
                      <w:pPr>
                        <w:autoSpaceDE w:val="0"/>
                        <w:autoSpaceDN w:val="0"/>
                        <w:adjustRightInd w:val="0"/>
                        <w:spacing w:line="240" w:lineRule="atLeast"/>
                        <w:jc w:val="center"/>
                        <w:rPr>
                          <w:rFonts w:ascii="Arial" w:hAnsi="Arial" w:cs="Arial"/>
                          <w:b/>
                          <w:bCs/>
                          <w:color w:val="002060"/>
                          <w:sz w:val="28"/>
                          <w:szCs w:val="28"/>
                        </w:rPr>
                      </w:pPr>
                      <w:r w:rsidRPr="00F12878">
                        <w:rPr>
                          <w:rFonts w:ascii="Arial" w:hAnsi="Arial" w:cs="Arial"/>
                          <w:b/>
                          <w:bCs/>
                          <w:color w:val="002060"/>
                          <w:sz w:val="28"/>
                          <w:szCs w:val="28"/>
                        </w:rPr>
                        <w:t>SURVEY QUESTIONNAIRE ON</w:t>
                      </w:r>
                    </w:p>
                    <w:p w:rsidR="005C59B3" w:rsidRPr="00B93A1A" w:rsidRDefault="005C59B3" w:rsidP="005C59B3">
                      <w:pPr>
                        <w:spacing w:line="240" w:lineRule="atLeast"/>
                        <w:jc w:val="center"/>
                        <w:rPr>
                          <w:rFonts w:ascii="Arial" w:hAnsi="Arial" w:cs="Arial"/>
                          <w:b/>
                          <w:bCs/>
                          <w:color w:val="002060"/>
                          <w:sz w:val="40"/>
                          <w:szCs w:val="28"/>
                        </w:rPr>
                      </w:pPr>
                      <w:r w:rsidRPr="00B93A1A">
                        <w:rPr>
                          <w:rFonts w:ascii="Arial" w:hAnsi="Arial" w:cs="Arial"/>
                          <w:b/>
                          <w:bCs/>
                          <w:color w:val="002060"/>
                          <w:sz w:val="40"/>
                          <w:szCs w:val="28"/>
                        </w:rPr>
                        <w:t>INVESTOR PROTECTION IN ISLAMIC CAPITAL MARKETS</w:t>
                      </w:r>
                      <w:bookmarkEnd w:id="1"/>
                    </w:p>
                  </w:txbxContent>
                </v:textbox>
              </v:rect>
            </w:pict>
          </mc:Fallback>
        </mc:AlternateContent>
      </w:r>
    </w:p>
    <w:p w:rsidR="005C59B3" w:rsidRPr="009068EF" w:rsidRDefault="005C59B3" w:rsidP="005C59B3">
      <w:pPr>
        <w:autoSpaceDE w:val="0"/>
        <w:autoSpaceDN w:val="0"/>
        <w:adjustRightInd w:val="0"/>
        <w:jc w:val="center"/>
        <w:rPr>
          <w:rFonts w:ascii="Arial" w:hAnsi="Arial" w:cs="Arial"/>
          <w:b/>
          <w:bCs/>
        </w:rPr>
      </w:pPr>
    </w:p>
    <w:p w:rsidR="005C59B3" w:rsidRPr="009068EF" w:rsidRDefault="005C59B3" w:rsidP="005C59B3">
      <w:pPr>
        <w:autoSpaceDE w:val="0"/>
        <w:autoSpaceDN w:val="0"/>
        <w:adjustRightInd w:val="0"/>
        <w:jc w:val="center"/>
        <w:rPr>
          <w:rFonts w:ascii="Arial" w:hAnsi="Arial" w:cs="Arial"/>
          <w:b/>
          <w:bCs/>
        </w:rPr>
      </w:pPr>
    </w:p>
    <w:p w:rsidR="005C59B3" w:rsidRPr="009068EF" w:rsidRDefault="005C59B3" w:rsidP="005C59B3">
      <w:pPr>
        <w:autoSpaceDE w:val="0"/>
        <w:autoSpaceDN w:val="0"/>
        <w:adjustRightInd w:val="0"/>
        <w:jc w:val="center"/>
        <w:rPr>
          <w:rFonts w:ascii="Arial" w:hAnsi="Arial" w:cs="Arial"/>
          <w:b/>
          <w:bCs/>
        </w:rPr>
      </w:pPr>
    </w:p>
    <w:p w:rsidR="005C59B3" w:rsidRPr="009068EF" w:rsidRDefault="005C59B3" w:rsidP="005C59B3">
      <w:pPr>
        <w:autoSpaceDE w:val="0"/>
        <w:autoSpaceDN w:val="0"/>
        <w:adjustRightInd w:val="0"/>
        <w:jc w:val="center"/>
        <w:rPr>
          <w:rFonts w:ascii="Arial" w:eastAsia="Batang" w:hAnsi="Arial" w:cs="Arial"/>
          <w:b/>
          <w:bCs/>
          <w:color w:val="000000"/>
          <w:lang w:eastAsia="ko-KR"/>
        </w:rPr>
      </w:pPr>
    </w:p>
    <w:p w:rsidR="005C59B3" w:rsidRPr="009068EF" w:rsidRDefault="005C59B3" w:rsidP="005C59B3">
      <w:pPr>
        <w:autoSpaceDE w:val="0"/>
        <w:autoSpaceDN w:val="0"/>
        <w:adjustRightInd w:val="0"/>
        <w:jc w:val="center"/>
        <w:rPr>
          <w:rFonts w:ascii="Arial" w:eastAsia="Batang" w:hAnsi="Arial" w:cs="Arial"/>
          <w:b/>
          <w:bCs/>
          <w:color w:val="000000"/>
          <w:lang w:eastAsia="ko-KR"/>
        </w:rPr>
      </w:pPr>
    </w:p>
    <w:p w:rsidR="005C59B3" w:rsidRPr="009068EF" w:rsidRDefault="005C59B3" w:rsidP="005C59B3">
      <w:pPr>
        <w:autoSpaceDE w:val="0"/>
        <w:autoSpaceDN w:val="0"/>
        <w:adjustRightInd w:val="0"/>
        <w:jc w:val="center"/>
        <w:rPr>
          <w:rFonts w:ascii="Arial" w:eastAsia="Batang" w:hAnsi="Arial" w:cs="Arial"/>
          <w:b/>
          <w:bCs/>
          <w:color w:val="000000"/>
          <w:lang w:eastAsia="ko-KR"/>
        </w:rPr>
      </w:pPr>
    </w:p>
    <w:p w:rsidR="005C59B3" w:rsidRPr="009068EF" w:rsidRDefault="005C59B3" w:rsidP="005C59B3">
      <w:pPr>
        <w:autoSpaceDE w:val="0"/>
        <w:autoSpaceDN w:val="0"/>
        <w:adjustRightInd w:val="0"/>
        <w:jc w:val="center"/>
        <w:rPr>
          <w:rFonts w:ascii="Arial" w:eastAsia="Batang" w:hAnsi="Arial" w:cs="Arial"/>
          <w:b/>
          <w:bCs/>
          <w:color w:val="000000"/>
          <w:lang w:eastAsia="ko-KR"/>
        </w:rPr>
      </w:pPr>
    </w:p>
    <w:p w:rsidR="005C59B3" w:rsidRPr="009068EF" w:rsidRDefault="005C59B3" w:rsidP="005C59B3">
      <w:pPr>
        <w:autoSpaceDE w:val="0"/>
        <w:autoSpaceDN w:val="0"/>
        <w:adjustRightInd w:val="0"/>
        <w:jc w:val="center"/>
        <w:rPr>
          <w:rFonts w:ascii="Arial" w:eastAsia="Batang" w:hAnsi="Arial" w:cs="Arial"/>
          <w:b/>
          <w:bCs/>
          <w:color w:val="000000"/>
          <w:lang w:eastAsia="ko-KR"/>
        </w:rPr>
      </w:pPr>
    </w:p>
    <w:p w:rsidR="005C59B3" w:rsidRDefault="005C59B3" w:rsidP="005C59B3">
      <w:pPr>
        <w:autoSpaceDE w:val="0"/>
        <w:autoSpaceDN w:val="0"/>
        <w:adjustRightInd w:val="0"/>
        <w:jc w:val="center"/>
        <w:rPr>
          <w:rFonts w:ascii="Arial" w:eastAsia="Batang" w:hAnsi="Arial" w:cs="Arial"/>
          <w:b/>
          <w:bCs/>
          <w:color w:val="000000"/>
          <w:lang w:eastAsia="ko-KR"/>
        </w:rPr>
      </w:pPr>
    </w:p>
    <w:p w:rsidR="005C59B3" w:rsidRDefault="005C59B3" w:rsidP="005C59B3">
      <w:pPr>
        <w:autoSpaceDE w:val="0"/>
        <w:autoSpaceDN w:val="0"/>
        <w:adjustRightInd w:val="0"/>
        <w:jc w:val="center"/>
        <w:rPr>
          <w:rFonts w:ascii="Arial" w:eastAsia="Batang" w:hAnsi="Arial" w:cs="Arial"/>
          <w:b/>
          <w:bCs/>
          <w:color w:val="000000"/>
          <w:lang w:eastAsia="ko-KR"/>
        </w:rPr>
      </w:pPr>
    </w:p>
    <w:p w:rsidR="005C59B3" w:rsidRDefault="005C59B3" w:rsidP="005C59B3">
      <w:pPr>
        <w:autoSpaceDE w:val="0"/>
        <w:autoSpaceDN w:val="0"/>
        <w:adjustRightInd w:val="0"/>
        <w:jc w:val="center"/>
        <w:rPr>
          <w:rFonts w:ascii="Arial" w:eastAsia="Batang" w:hAnsi="Arial" w:cs="Arial"/>
          <w:b/>
          <w:bCs/>
          <w:color w:val="000000"/>
          <w:lang w:eastAsia="ko-KR"/>
        </w:rPr>
      </w:pPr>
    </w:p>
    <w:p w:rsidR="005C59B3" w:rsidRPr="009068EF" w:rsidRDefault="005C59B3" w:rsidP="005C59B3">
      <w:pPr>
        <w:autoSpaceDE w:val="0"/>
        <w:autoSpaceDN w:val="0"/>
        <w:adjustRightInd w:val="0"/>
        <w:jc w:val="center"/>
        <w:rPr>
          <w:rFonts w:ascii="Arial" w:eastAsia="Batang" w:hAnsi="Arial" w:cs="Arial"/>
          <w:b/>
          <w:bCs/>
          <w:color w:val="000000"/>
          <w:lang w:eastAsia="ko-KR"/>
        </w:rPr>
      </w:pPr>
    </w:p>
    <w:tbl>
      <w:tblPr>
        <w:tblW w:w="751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DBDB" w:themeFill="accent3" w:themeFillTint="66"/>
        <w:tblLook w:val="04A0" w:firstRow="1" w:lastRow="0" w:firstColumn="1" w:lastColumn="0" w:noHBand="0" w:noVBand="1"/>
      </w:tblPr>
      <w:tblGrid>
        <w:gridCol w:w="3798"/>
        <w:gridCol w:w="3714"/>
      </w:tblGrid>
      <w:tr w:rsidR="005C59B3" w:rsidRPr="009068EF" w:rsidTr="005C3EBD">
        <w:trPr>
          <w:trHeight w:val="786"/>
        </w:trPr>
        <w:tc>
          <w:tcPr>
            <w:tcW w:w="3798" w:type="dxa"/>
            <w:shd w:val="clear" w:color="auto" w:fill="DBDBDB" w:themeFill="accent3" w:themeFillTint="66"/>
            <w:noWrap/>
            <w:vAlign w:val="center"/>
            <w:hideMark/>
          </w:tcPr>
          <w:p w:rsidR="005C59B3" w:rsidRPr="009068EF" w:rsidRDefault="005C59B3" w:rsidP="005C3EBD">
            <w:pPr>
              <w:rPr>
                <w:rFonts w:ascii="Arial" w:eastAsia="MS Mincho" w:hAnsi="Arial" w:cs="Arial"/>
                <w:b/>
                <w:bCs/>
                <w:color w:val="002060"/>
                <w:lang w:eastAsia="ja-JP"/>
              </w:rPr>
            </w:pPr>
            <w:r w:rsidRPr="009068EF">
              <w:rPr>
                <w:rFonts w:ascii="Arial" w:eastAsia="MS Mincho" w:hAnsi="Arial" w:cs="Arial"/>
                <w:b/>
                <w:bCs/>
                <w:color w:val="002060"/>
                <w:lang w:eastAsia="ja-JP"/>
              </w:rPr>
              <w:t xml:space="preserve">Name of </w:t>
            </w:r>
            <w:proofErr w:type="spellStart"/>
            <w:r w:rsidRPr="009068EF">
              <w:rPr>
                <w:rFonts w:ascii="Arial" w:eastAsia="MS Mincho" w:hAnsi="Arial" w:cs="Arial"/>
                <w:b/>
                <w:bCs/>
                <w:color w:val="002060"/>
                <w:lang w:eastAsia="ja-JP"/>
              </w:rPr>
              <w:t>Organisation</w:t>
            </w:r>
            <w:proofErr w:type="spellEnd"/>
          </w:p>
        </w:tc>
        <w:tc>
          <w:tcPr>
            <w:tcW w:w="3714" w:type="dxa"/>
            <w:shd w:val="clear" w:color="auto" w:fill="DBDBDB" w:themeFill="accent3" w:themeFillTint="66"/>
            <w:noWrap/>
            <w:vAlign w:val="bottom"/>
            <w:hideMark/>
          </w:tcPr>
          <w:p w:rsidR="005C59B3" w:rsidRPr="009068EF" w:rsidRDefault="005C59B3" w:rsidP="005C3EBD">
            <w:pPr>
              <w:jc w:val="center"/>
              <w:rPr>
                <w:rFonts w:ascii="Arial" w:eastAsia="MS Mincho" w:hAnsi="Arial" w:cs="Arial"/>
                <w:lang w:eastAsia="ja-JP"/>
              </w:rPr>
            </w:pPr>
            <w:r w:rsidRPr="009068EF">
              <w:rPr>
                <w:rFonts w:ascii="Arial" w:eastAsia="MS Mincho" w:hAnsi="Arial" w:cs="Arial"/>
                <w:lang w:eastAsia="ja-JP"/>
              </w:rPr>
              <w:t> </w:t>
            </w:r>
          </w:p>
        </w:tc>
      </w:tr>
      <w:tr w:rsidR="005C59B3" w:rsidRPr="009068EF" w:rsidTr="005C3EBD">
        <w:trPr>
          <w:trHeight w:val="255"/>
        </w:trPr>
        <w:tc>
          <w:tcPr>
            <w:tcW w:w="3798" w:type="dxa"/>
            <w:shd w:val="clear" w:color="auto" w:fill="DBDBDB" w:themeFill="accent3" w:themeFillTint="66"/>
            <w:noWrap/>
            <w:vAlign w:val="center"/>
            <w:hideMark/>
          </w:tcPr>
          <w:p w:rsidR="005C59B3" w:rsidRPr="009068EF" w:rsidRDefault="005C59B3" w:rsidP="005C3EBD">
            <w:pPr>
              <w:rPr>
                <w:rFonts w:ascii="Arial" w:eastAsia="MS Mincho" w:hAnsi="Arial" w:cs="Arial"/>
                <w:b/>
                <w:bCs/>
                <w:color w:val="002060"/>
                <w:lang w:eastAsia="ja-JP"/>
              </w:rPr>
            </w:pPr>
          </w:p>
          <w:p w:rsidR="005C59B3" w:rsidRPr="009068EF" w:rsidRDefault="005C59B3" w:rsidP="005C3EBD">
            <w:pPr>
              <w:rPr>
                <w:rFonts w:ascii="Arial" w:eastAsia="MS Mincho" w:hAnsi="Arial" w:cs="Arial"/>
                <w:b/>
                <w:bCs/>
                <w:color w:val="002060"/>
                <w:lang w:eastAsia="ja-JP"/>
              </w:rPr>
            </w:pPr>
            <w:r w:rsidRPr="009068EF">
              <w:rPr>
                <w:rFonts w:ascii="Arial" w:eastAsia="MS Mincho" w:hAnsi="Arial" w:cs="Arial"/>
                <w:b/>
                <w:bCs/>
                <w:color w:val="002060"/>
                <w:lang w:eastAsia="ja-JP"/>
              </w:rPr>
              <w:t>Jurisdiction of Operation</w:t>
            </w:r>
          </w:p>
          <w:p w:rsidR="005C59B3" w:rsidRPr="009068EF" w:rsidRDefault="005C59B3" w:rsidP="005C3EBD">
            <w:pPr>
              <w:rPr>
                <w:rFonts w:ascii="Arial" w:eastAsia="MS Mincho" w:hAnsi="Arial" w:cs="Arial"/>
                <w:b/>
                <w:bCs/>
                <w:color w:val="002060"/>
                <w:lang w:eastAsia="ja-JP"/>
              </w:rPr>
            </w:pPr>
          </w:p>
        </w:tc>
        <w:tc>
          <w:tcPr>
            <w:tcW w:w="3714" w:type="dxa"/>
            <w:shd w:val="clear" w:color="auto" w:fill="DBDBDB" w:themeFill="accent3" w:themeFillTint="66"/>
            <w:noWrap/>
            <w:vAlign w:val="bottom"/>
            <w:hideMark/>
          </w:tcPr>
          <w:p w:rsidR="005C59B3" w:rsidRPr="009068EF" w:rsidRDefault="005C59B3" w:rsidP="005C3EBD">
            <w:pPr>
              <w:jc w:val="center"/>
              <w:rPr>
                <w:rFonts w:ascii="Arial" w:eastAsia="MS Mincho" w:hAnsi="Arial" w:cs="Arial"/>
                <w:lang w:eastAsia="ja-JP"/>
              </w:rPr>
            </w:pPr>
            <w:r w:rsidRPr="009068EF">
              <w:rPr>
                <w:rFonts w:ascii="Arial" w:eastAsia="MS Mincho" w:hAnsi="Arial" w:cs="Arial"/>
                <w:lang w:eastAsia="ja-JP"/>
              </w:rPr>
              <w:t> </w:t>
            </w:r>
          </w:p>
        </w:tc>
      </w:tr>
      <w:tr w:rsidR="005C59B3" w:rsidRPr="009068EF" w:rsidTr="005C3EBD">
        <w:trPr>
          <w:trHeight w:val="255"/>
        </w:trPr>
        <w:tc>
          <w:tcPr>
            <w:tcW w:w="3798" w:type="dxa"/>
            <w:shd w:val="clear" w:color="auto" w:fill="DBDBDB" w:themeFill="accent3" w:themeFillTint="66"/>
            <w:noWrap/>
            <w:vAlign w:val="center"/>
            <w:hideMark/>
          </w:tcPr>
          <w:p w:rsidR="005C59B3" w:rsidRPr="009068EF" w:rsidRDefault="005C59B3" w:rsidP="005C3EBD">
            <w:pPr>
              <w:rPr>
                <w:rFonts w:ascii="Arial" w:eastAsia="MS Mincho" w:hAnsi="Arial" w:cs="Arial"/>
                <w:b/>
                <w:bCs/>
                <w:color w:val="002060"/>
                <w:lang w:eastAsia="ja-JP"/>
              </w:rPr>
            </w:pPr>
          </w:p>
          <w:p w:rsidR="005C59B3" w:rsidRPr="009068EF" w:rsidRDefault="005C59B3" w:rsidP="005C3EBD">
            <w:pPr>
              <w:rPr>
                <w:rFonts w:ascii="Arial" w:eastAsia="MS Mincho" w:hAnsi="Arial" w:cs="Arial"/>
                <w:b/>
                <w:bCs/>
                <w:color w:val="002060"/>
                <w:lang w:eastAsia="ja-JP"/>
              </w:rPr>
            </w:pPr>
            <w:r w:rsidRPr="009068EF">
              <w:rPr>
                <w:rFonts w:ascii="Arial" w:eastAsia="MS Mincho" w:hAnsi="Arial" w:cs="Arial"/>
                <w:b/>
                <w:bCs/>
                <w:color w:val="002060"/>
                <w:lang w:eastAsia="ja-JP"/>
              </w:rPr>
              <w:t>Name of Contact Person</w:t>
            </w:r>
          </w:p>
          <w:p w:rsidR="005C59B3" w:rsidRPr="009068EF" w:rsidRDefault="005C59B3" w:rsidP="005C3EBD">
            <w:pPr>
              <w:rPr>
                <w:rFonts w:ascii="Arial" w:eastAsia="MS Mincho" w:hAnsi="Arial" w:cs="Arial"/>
                <w:b/>
                <w:bCs/>
                <w:color w:val="002060"/>
                <w:lang w:eastAsia="ja-JP"/>
              </w:rPr>
            </w:pPr>
          </w:p>
        </w:tc>
        <w:tc>
          <w:tcPr>
            <w:tcW w:w="3714" w:type="dxa"/>
            <w:shd w:val="clear" w:color="auto" w:fill="DBDBDB" w:themeFill="accent3" w:themeFillTint="66"/>
            <w:noWrap/>
            <w:vAlign w:val="bottom"/>
            <w:hideMark/>
          </w:tcPr>
          <w:p w:rsidR="005C59B3" w:rsidRPr="009068EF" w:rsidRDefault="005C59B3" w:rsidP="005C3EBD">
            <w:pPr>
              <w:jc w:val="center"/>
              <w:rPr>
                <w:rFonts w:ascii="Arial" w:eastAsia="MS Mincho" w:hAnsi="Arial" w:cs="Arial"/>
                <w:lang w:eastAsia="ja-JP"/>
              </w:rPr>
            </w:pPr>
            <w:r w:rsidRPr="009068EF">
              <w:rPr>
                <w:rFonts w:ascii="Arial" w:eastAsia="MS Mincho" w:hAnsi="Arial" w:cs="Arial"/>
                <w:lang w:eastAsia="ja-JP"/>
              </w:rPr>
              <w:t> </w:t>
            </w:r>
          </w:p>
        </w:tc>
      </w:tr>
      <w:tr w:rsidR="005C59B3" w:rsidRPr="009068EF" w:rsidTr="005C3EBD">
        <w:trPr>
          <w:trHeight w:val="255"/>
        </w:trPr>
        <w:tc>
          <w:tcPr>
            <w:tcW w:w="3798" w:type="dxa"/>
            <w:shd w:val="clear" w:color="auto" w:fill="DBDBDB" w:themeFill="accent3" w:themeFillTint="66"/>
            <w:noWrap/>
            <w:vAlign w:val="center"/>
          </w:tcPr>
          <w:p w:rsidR="005C59B3" w:rsidRPr="009068EF" w:rsidRDefault="005C59B3" w:rsidP="005C3EBD">
            <w:pPr>
              <w:rPr>
                <w:rFonts w:ascii="Arial" w:eastAsia="MS Mincho" w:hAnsi="Arial" w:cs="Arial"/>
                <w:b/>
                <w:bCs/>
                <w:color w:val="002060"/>
                <w:lang w:eastAsia="ja-JP"/>
              </w:rPr>
            </w:pPr>
          </w:p>
          <w:p w:rsidR="005C59B3" w:rsidRPr="009068EF" w:rsidRDefault="005C59B3" w:rsidP="005C3EBD">
            <w:pPr>
              <w:rPr>
                <w:rFonts w:ascii="Arial" w:eastAsia="MS Mincho" w:hAnsi="Arial" w:cs="Arial"/>
                <w:b/>
                <w:bCs/>
                <w:color w:val="002060"/>
                <w:lang w:eastAsia="ja-JP"/>
              </w:rPr>
            </w:pPr>
            <w:r w:rsidRPr="009068EF">
              <w:rPr>
                <w:rFonts w:ascii="Arial" w:eastAsia="MS Mincho" w:hAnsi="Arial" w:cs="Arial"/>
                <w:b/>
                <w:bCs/>
                <w:color w:val="002060"/>
                <w:lang w:eastAsia="ja-JP"/>
              </w:rPr>
              <w:t>Designation</w:t>
            </w:r>
          </w:p>
          <w:p w:rsidR="005C59B3" w:rsidRPr="009068EF" w:rsidRDefault="005C59B3" w:rsidP="005C3EBD">
            <w:pPr>
              <w:rPr>
                <w:rFonts w:ascii="Arial" w:eastAsia="MS Mincho" w:hAnsi="Arial" w:cs="Arial"/>
                <w:b/>
                <w:bCs/>
                <w:color w:val="002060"/>
                <w:lang w:eastAsia="ja-JP"/>
              </w:rPr>
            </w:pPr>
          </w:p>
        </w:tc>
        <w:tc>
          <w:tcPr>
            <w:tcW w:w="3714" w:type="dxa"/>
            <w:shd w:val="clear" w:color="auto" w:fill="DBDBDB" w:themeFill="accent3" w:themeFillTint="66"/>
            <w:noWrap/>
            <w:vAlign w:val="bottom"/>
          </w:tcPr>
          <w:p w:rsidR="005C59B3" w:rsidRPr="009068EF" w:rsidRDefault="005C59B3" w:rsidP="005C3EBD">
            <w:pPr>
              <w:jc w:val="center"/>
              <w:rPr>
                <w:rFonts w:ascii="Arial" w:eastAsia="MS Mincho" w:hAnsi="Arial" w:cs="Arial"/>
                <w:lang w:eastAsia="ja-JP"/>
              </w:rPr>
            </w:pPr>
          </w:p>
        </w:tc>
      </w:tr>
      <w:tr w:rsidR="005C59B3" w:rsidRPr="009068EF" w:rsidTr="005C3EBD">
        <w:trPr>
          <w:trHeight w:val="512"/>
        </w:trPr>
        <w:tc>
          <w:tcPr>
            <w:tcW w:w="3798" w:type="dxa"/>
            <w:shd w:val="clear" w:color="auto" w:fill="DBDBDB" w:themeFill="accent3" w:themeFillTint="66"/>
            <w:noWrap/>
            <w:vAlign w:val="center"/>
            <w:hideMark/>
          </w:tcPr>
          <w:p w:rsidR="005C59B3" w:rsidRPr="009068EF" w:rsidRDefault="005C59B3" w:rsidP="005C3EBD">
            <w:pPr>
              <w:rPr>
                <w:rFonts w:ascii="Arial" w:eastAsia="MS Mincho" w:hAnsi="Arial" w:cs="Arial"/>
                <w:b/>
                <w:bCs/>
                <w:color w:val="002060"/>
                <w:lang w:eastAsia="ja-JP"/>
              </w:rPr>
            </w:pPr>
          </w:p>
          <w:p w:rsidR="005C59B3" w:rsidRPr="009068EF" w:rsidRDefault="005C59B3" w:rsidP="005C3EBD">
            <w:pPr>
              <w:rPr>
                <w:rFonts w:ascii="Arial" w:eastAsia="MS Mincho" w:hAnsi="Arial" w:cs="Arial"/>
                <w:b/>
                <w:bCs/>
                <w:color w:val="002060"/>
                <w:lang w:eastAsia="ja-JP"/>
              </w:rPr>
            </w:pPr>
            <w:r w:rsidRPr="009068EF">
              <w:rPr>
                <w:rFonts w:ascii="Arial" w:eastAsia="MS Mincho" w:hAnsi="Arial" w:cs="Arial"/>
                <w:b/>
                <w:bCs/>
                <w:color w:val="002060"/>
                <w:lang w:eastAsia="ja-JP"/>
              </w:rPr>
              <w:t>Phone number and Email Address</w:t>
            </w:r>
          </w:p>
          <w:p w:rsidR="005C59B3" w:rsidRPr="009068EF" w:rsidRDefault="005C59B3" w:rsidP="005C3EBD">
            <w:pPr>
              <w:rPr>
                <w:rFonts w:ascii="Arial" w:eastAsia="MS Mincho" w:hAnsi="Arial" w:cs="Arial"/>
                <w:b/>
                <w:bCs/>
                <w:color w:val="002060"/>
                <w:lang w:eastAsia="ja-JP"/>
              </w:rPr>
            </w:pPr>
          </w:p>
        </w:tc>
        <w:tc>
          <w:tcPr>
            <w:tcW w:w="3714" w:type="dxa"/>
            <w:shd w:val="clear" w:color="auto" w:fill="DBDBDB" w:themeFill="accent3" w:themeFillTint="66"/>
            <w:noWrap/>
            <w:vAlign w:val="bottom"/>
            <w:hideMark/>
          </w:tcPr>
          <w:p w:rsidR="005C59B3" w:rsidRPr="009068EF" w:rsidRDefault="005C59B3" w:rsidP="005C3EBD">
            <w:pPr>
              <w:jc w:val="center"/>
              <w:rPr>
                <w:rFonts w:ascii="Arial" w:eastAsia="MS Mincho" w:hAnsi="Arial" w:cs="Arial"/>
                <w:lang w:eastAsia="ja-JP"/>
              </w:rPr>
            </w:pPr>
            <w:r w:rsidRPr="009068EF">
              <w:rPr>
                <w:rFonts w:ascii="Arial" w:eastAsia="MS Mincho" w:hAnsi="Arial" w:cs="Arial"/>
                <w:lang w:eastAsia="ja-JP"/>
              </w:rPr>
              <w:t> </w:t>
            </w:r>
          </w:p>
        </w:tc>
      </w:tr>
    </w:tbl>
    <w:p w:rsidR="005C59B3" w:rsidRPr="009068EF" w:rsidRDefault="005C59B3" w:rsidP="005C59B3">
      <w:pPr>
        <w:autoSpaceDE w:val="0"/>
        <w:autoSpaceDN w:val="0"/>
        <w:adjustRightInd w:val="0"/>
        <w:jc w:val="center"/>
        <w:rPr>
          <w:rFonts w:ascii="Arial" w:eastAsia="Batang" w:hAnsi="Arial" w:cs="Arial"/>
          <w:b/>
          <w:bCs/>
          <w:color w:val="000000"/>
          <w:lang w:eastAsia="ko-KR"/>
        </w:rPr>
      </w:pPr>
    </w:p>
    <w:p w:rsidR="005C59B3" w:rsidRDefault="005C59B3" w:rsidP="005C59B3">
      <w:pPr>
        <w:autoSpaceDE w:val="0"/>
        <w:autoSpaceDN w:val="0"/>
        <w:adjustRightInd w:val="0"/>
        <w:jc w:val="center"/>
        <w:rPr>
          <w:rFonts w:ascii="Arial" w:eastAsia="Batang" w:hAnsi="Arial" w:cs="Arial"/>
          <w:b/>
          <w:bCs/>
          <w:color w:val="000000"/>
          <w:lang w:eastAsia="ko-KR"/>
        </w:rPr>
      </w:pPr>
    </w:p>
    <w:p w:rsidR="005C59B3" w:rsidRDefault="005C59B3" w:rsidP="005C59B3">
      <w:pPr>
        <w:autoSpaceDE w:val="0"/>
        <w:autoSpaceDN w:val="0"/>
        <w:adjustRightInd w:val="0"/>
        <w:jc w:val="center"/>
        <w:rPr>
          <w:rFonts w:ascii="Arial" w:eastAsia="Batang" w:hAnsi="Arial" w:cs="Arial"/>
          <w:b/>
          <w:bCs/>
          <w:color w:val="000000"/>
          <w:lang w:eastAsia="ko-KR"/>
        </w:rPr>
      </w:pPr>
    </w:p>
    <w:p w:rsidR="005C59B3" w:rsidRDefault="005C59B3">
      <w:pPr>
        <w:rPr>
          <w:rFonts w:ascii="Arial" w:eastAsia="Batang" w:hAnsi="Arial" w:cs="Arial"/>
          <w:b/>
          <w:bCs/>
          <w:color w:val="000000"/>
          <w:lang w:eastAsia="ko-KR"/>
        </w:rPr>
      </w:pPr>
      <w:r>
        <w:rPr>
          <w:rFonts w:ascii="Arial" w:eastAsia="Batang" w:hAnsi="Arial" w:cs="Arial"/>
          <w:b/>
          <w:bCs/>
          <w:color w:val="000000"/>
          <w:lang w:eastAsia="ko-KR"/>
        </w:rPr>
        <w:br w:type="page"/>
      </w:r>
    </w:p>
    <w:p w:rsidR="005C59B3" w:rsidRPr="009068EF" w:rsidRDefault="005C59B3" w:rsidP="005C59B3">
      <w:pPr>
        <w:autoSpaceDE w:val="0"/>
        <w:autoSpaceDN w:val="0"/>
        <w:adjustRightInd w:val="0"/>
        <w:jc w:val="center"/>
        <w:rPr>
          <w:rFonts w:ascii="Arial" w:eastAsia="Batang" w:hAnsi="Arial" w:cs="Arial"/>
          <w:b/>
          <w:bCs/>
          <w:color w:val="000000"/>
          <w:lang w:eastAsia="ko-KR"/>
        </w:rPr>
      </w:pPr>
    </w:p>
    <w:p w:rsidR="005C59B3" w:rsidRPr="0040170F" w:rsidRDefault="005C59B3" w:rsidP="005C59B3">
      <w:pPr>
        <w:autoSpaceDE w:val="0"/>
        <w:autoSpaceDN w:val="0"/>
        <w:adjustRightInd w:val="0"/>
        <w:jc w:val="center"/>
        <w:rPr>
          <w:rFonts w:ascii="Arial" w:hAnsi="Arial" w:cs="Arial"/>
          <w:b/>
          <w:bCs/>
          <w:color w:val="525252" w:themeColor="accent3" w:themeShade="80"/>
          <w:sz w:val="32"/>
          <w:szCs w:val="24"/>
        </w:rPr>
      </w:pPr>
      <w:r w:rsidRPr="0040170F">
        <w:rPr>
          <w:rFonts w:ascii="Arial" w:hAnsi="Arial" w:cs="Arial"/>
          <w:b/>
          <w:bCs/>
          <w:color w:val="525252" w:themeColor="accent3" w:themeShade="80"/>
          <w:sz w:val="32"/>
          <w:szCs w:val="24"/>
        </w:rPr>
        <w:t>IFSB SURVEY ON INVESTOR PROTECTION FOR ISLAMIC CAPITAL MARKETS</w:t>
      </w:r>
    </w:p>
    <w:p w:rsidR="005C59B3" w:rsidRPr="009068EF" w:rsidRDefault="005C59B3" w:rsidP="005C59B3">
      <w:pPr>
        <w:autoSpaceDE w:val="0"/>
        <w:autoSpaceDN w:val="0"/>
        <w:adjustRightInd w:val="0"/>
        <w:rPr>
          <w:rFonts w:ascii="Arial" w:hAnsi="Arial" w:cs="Arial"/>
          <w:b/>
          <w:bCs/>
          <w:color w:val="44546A" w:themeColor="text2"/>
        </w:rPr>
      </w:pPr>
    </w:p>
    <w:p w:rsidR="005C59B3" w:rsidRPr="009068EF" w:rsidRDefault="005C59B3" w:rsidP="005C59B3">
      <w:pPr>
        <w:autoSpaceDE w:val="0"/>
        <w:autoSpaceDN w:val="0"/>
        <w:adjustRightInd w:val="0"/>
        <w:spacing w:after="240"/>
        <w:rPr>
          <w:rFonts w:ascii="Arial" w:hAnsi="Arial" w:cs="Arial"/>
          <w:b/>
          <w:bCs/>
          <w:color w:val="7B7B7B" w:themeColor="accent3" w:themeShade="BF"/>
          <w:sz w:val="24"/>
          <w:szCs w:val="24"/>
        </w:rPr>
      </w:pPr>
      <w:r w:rsidRPr="009068EF">
        <w:rPr>
          <w:rFonts w:ascii="Arial" w:hAnsi="Arial" w:cs="Arial"/>
          <w:b/>
          <w:bCs/>
          <w:color w:val="7B7B7B" w:themeColor="accent3" w:themeShade="BF"/>
          <w:sz w:val="24"/>
          <w:szCs w:val="24"/>
        </w:rPr>
        <w:t xml:space="preserve">BACKGROUND AND INSTRUCTIONS </w:t>
      </w:r>
    </w:p>
    <w:p w:rsidR="005C59B3" w:rsidRDefault="005C59B3" w:rsidP="005C59B3">
      <w:pPr>
        <w:numPr>
          <w:ilvl w:val="0"/>
          <w:numId w:val="25"/>
        </w:numPr>
        <w:tabs>
          <w:tab w:val="num" w:pos="720"/>
        </w:tabs>
        <w:spacing w:line="360" w:lineRule="auto"/>
        <w:jc w:val="both"/>
        <w:rPr>
          <w:rFonts w:ascii="Arial" w:hAnsi="Arial" w:cs="Arial"/>
          <w:color w:val="000000"/>
          <w:sz w:val="20"/>
        </w:rPr>
      </w:pPr>
      <w:r w:rsidRPr="00B93A1A">
        <w:rPr>
          <w:rFonts w:ascii="Arial" w:hAnsi="Arial" w:cs="Arial"/>
          <w:color w:val="000000"/>
          <w:sz w:val="20"/>
        </w:rPr>
        <w:t>The Islamic Financial Services Board’s (IFSB) Articles of Agreement set out the objectives of the IFSB.  Article 4(a) outlines the objective “to promote the development of a prudent and transparent Islamic financial services industry through introducing new, or adapting existing, international standards consistent with Sharīʿah principles, and recommend these for adoption”. Similarly, Article 4(g) mentions that the IFSB will undertake research into, and publish studies and surveys on, the Islamic financial services industry.</w:t>
      </w:r>
    </w:p>
    <w:p w:rsidR="005C59B3" w:rsidRDefault="005C59B3" w:rsidP="005C59B3">
      <w:pPr>
        <w:spacing w:line="360" w:lineRule="auto"/>
        <w:ind w:left="360"/>
        <w:jc w:val="both"/>
        <w:rPr>
          <w:rFonts w:ascii="Arial" w:hAnsi="Arial" w:cs="Arial"/>
          <w:color w:val="000000"/>
          <w:sz w:val="20"/>
        </w:rPr>
      </w:pPr>
    </w:p>
    <w:p w:rsidR="005C59B3" w:rsidRPr="009058FB" w:rsidRDefault="005C59B3" w:rsidP="005C59B3">
      <w:pPr>
        <w:numPr>
          <w:ilvl w:val="0"/>
          <w:numId w:val="25"/>
        </w:numPr>
        <w:tabs>
          <w:tab w:val="num" w:pos="720"/>
        </w:tabs>
        <w:spacing w:line="360" w:lineRule="auto"/>
        <w:jc w:val="both"/>
        <w:rPr>
          <w:rFonts w:ascii="Arial" w:hAnsi="Arial" w:cs="Arial"/>
          <w:sz w:val="20"/>
        </w:rPr>
      </w:pPr>
      <w:r w:rsidRPr="00B27164">
        <w:rPr>
          <w:rFonts w:ascii="Arial" w:hAnsi="Arial" w:cs="Arial"/>
          <w:sz w:val="20"/>
        </w:rPr>
        <w:t>The Council of the IFSB, in November</w:t>
      </w:r>
      <w:r w:rsidRPr="00B27164">
        <w:rPr>
          <w:rFonts w:ascii="Arial" w:eastAsia="MS Mincho" w:hAnsi="Arial" w:cs="Arial"/>
          <w:color w:val="000000"/>
          <w:sz w:val="20"/>
          <w:lang w:eastAsia="ja-JP"/>
        </w:rPr>
        <w:t xml:space="preserve"> 2018 </w:t>
      </w:r>
      <w:r w:rsidRPr="00B27164">
        <w:rPr>
          <w:rFonts w:ascii="Arial" w:hAnsi="Arial" w:cs="Arial"/>
          <w:sz w:val="20"/>
        </w:rPr>
        <w:t xml:space="preserve">approved the commencement of the new project on </w:t>
      </w:r>
      <w:r w:rsidRPr="00B27164">
        <w:rPr>
          <w:rFonts w:ascii="Arial" w:hAnsi="Arial" w:cs="Arial"/>
          <w:i/>
          <w:iCs/>
          <w:sz w:val="20"/>
        </w:rPr>
        <w:t>“Investor Protection in Islamic Capital Markets”</w:t>
      </w:r>
      <w:r w:rsidRPr="00B27164">
        <w:rPr>
          <w:rFonts w:ascii="Arial" w:hAnsi="Arial" w:cs="Arial"/>
          <w:sz w:val="20"/>
        </w:rPr>
        <w:t xml:space="preserve">. </w:t>
      </w:r>
      <w:r w:rsidRPr="00B27164">
        <w:rPr>
          <w:rFonts w:ascii="Arial" w:eastAsia="Calibri" w:hAnsi="Arial" w:cs="Times New Roman"/>
          <w:bCs/>
          <w:color w:val="000000"/>
          <w:sz w:val="20"/>
        </w:rPr>
        <w:t xml:space="preserve">The development </w:t>
      </w:r>
      <w:r>
        <w:rPr>
          <w:rFonts w:ascii="Arial" w:eastAsia="Calibri" w:hAnsi="Arial" w:cs="Times New Roman"/>
          <w:bCs/>
          <w:color w:val="000000"/>
          <w:sz w:val="20"/>
        </w:rPr>
        <w:t>of a dedicated</w:t>
      </w:r>
      <w:r w:rsidRPr="00B27164">
        <w:rPr>
          <w:rFonts w:ascii="Arial" w:eastAsia="Calibri" w:hAnsi="Arial" w:cs="Times New Roman"/>
          <w:bCs/>
          <w:color w:val="000000"/>
          <w:sz w:val="20"/>
        </w:rPr>
        <w:t xml:space="preserve"> Standard on investor protection in Islamic capital markets aims to offer inte</w:t>
      </w:r>
      <w:r w:rsidR="008D49E8">
        <w:rPr>
          <w:rFonts w:ascii="Arial" w:eastAsia="Calibri" w:hAnsi="Arial" w:cs="Times New Roman"/>
          <w:bCs/>
          <w:color w:val="000000"/>
          <w:sz w:val="20"/>
        </w:rPr>
        <w:t>rnational benchmark guidelines for</w:t>
      </w:r>
      <w:r w:rsidRPr="00B27164">
        <w:rPr>
          <w:rFonts w:ascii="Arial" w:eastAsia="Calibri" w:hAnsi="Arial" w:cs="Times New Roman"/>
          <w:bCs/>
          <w:color w:val="000000"/>
          <w:sz w:val="20"/>
        </w:rPr>
        <w:t xml:space="preserve"> regulatory and supervisory authorities (RSAs) that address the specificities of Islamic finance </w:t>
      </w:r>
      <w:r w:rsidR="008D49E8">
        <w:rPr>
          <w:rFonts w:ascii="Arial" w:eastAsia="Calibri" w:hAnsi="Arial" w:cs="Times New Roman"/>
          <w:bCs/>
          <w:color w:val="000000"/>
          <w:sz w:val="20"/>
        </w:rPr>
        <w:t>in</w:t>
      </w:r>
      <w:r w:rsidRPr="00B27164">
        <w:rPr>
          <w:rFonts w:ascii="Arial" w:eastAsia="Calibri" w:hAnsi="Arial" w:cs="Times New Roman"/>
          <w:bCs/>
          <w:color w:val="000000"/>
          <w:sz w:val="20"/>
        </w:rPr>
        <w:t xml:space="preserve"> investor protection regimes, complementing the existing international guidelines. </w:t>
      </w:r>
    </w:p>
    <w:p w:rsidR="005C59B3" w:rsidRDefault="005C59B3" w:rsidP="005C59B3">
      <w:pPr>
        <w:pStyle w:val="ListParagraph"/>
        <w:rPr>
          <w:rFonts w:ascii="Arial" w:hAnsi="Arial" w:cs="Arial"/>
          <w:sz w:val="20"/>
        </w:rPr>
      </w:pPr>
    </w:p>
    <w:p w:rsidR="005C59B3" w:rsidRPr="00743018" w:rsidRDefault="005C59B3" w:rsidP="005C59B3">
      <w:pPr>
        <w:numPr>
          <w:ilvl w:val="0"/>
          <w:numId w:val="25"/>
        </w:numPr>
        <w:tabs>
          <w:tab w:val="num" w:pos="720"/>
        </w:tabs>
        <w:spacing w:line="360" w:lineRule="auto"/>
        <w:jc w:val="both"/>
        <w:rPr>
          <w:rFonts w:ascii="Arial" w:hAnsi="Arial" w:cs="Arial"/>
          <w:sz w:val="20"/>
        </w:rPr>
      </w:pPr>
      <w:r w:rsidRPr="00B93A1A">
        <w:rPr>
          <w:rFonts w:ascii="Arial" w:hAnsi="Arial" w:cs="Arial"/>
          <w:sz w:val="20"/>
        </w:rPr>
        <w:t xml:space="preserve">As part of the Standard development process, the IFSB carries out surveys to collect information and seek the feedback of key </w:t>
      </w:r>
      <w:r w:rsidRPr="00743018">
        <w:rPr>
          <w:rFonts w:ascii="Arial" w:hAnsi="Arial" w:cs="Arial"/>
          <w:sz w:val="20"/>
        </w:rPr>
        <w:t xml:space="preserve">stakeholders. The information is </w:t>
      </w:r>
      <w:proofErr w:type="spellStart"/>
      <w:r w:rsidRPr="00743018">
        <w:rPr>
          <w:rFonts w:ascii="Arial" w:hAnsi="Arial" w:cs="Arial"/>
          <w:sz w:val="20"/>
        </w:rPr>
        <w:t>utilised</w:t>
      </w:r>
      <w:proofErr w:type="spellEnd"/>
      <w:r w:rsidRPr="00743018">
        <w:rPr>
          <w:rFonts w:ascii="Arial" w:hAnsi="Arial" w:cs="Arial"/>
          <w:sz w:val="20"/>
        </w:rPr>
        <w:t xml:space="preserve"> through discussion with the established Working Group, and helps better develop the Standard. </w:t>
      </w:r>
    </w:p>
    <w:p w:rsidR="005C59B3" w:rsidRPr="00743018" w:rsidRDefault="005C59B3" w:rsidP="005C59B3">
      <w:pPr>
        <w:tabs>
          <w:tab w:val="left" w:pos="2475"/>
        </w:tabs>
        <w:spacing w:line="360" w:lineRule="auto"/>
        <w:jc w:val="both"/>
        <w:rPr>
          <w:rFonts w:ascii="Arial" w:hAnsi="Arial" w:cs="Arial"/>
          <w:sz w:val="20"/>
        </w:rPr>
      </w:pPr>
      <w:r w:rsidRPr="00743018">
        <w:rPr>
          <w:rFonts w:ascii="Arial" w:hAnsi="Arial" w:cs="Arial"/>
          <w:sz w:val="20"/>
        </w:rPr>
        <w:tab/>
      </w:r>
    </w:p>
    <w:p w:rsidR="005C59B3" w:rsidRPr="00EA0C1E" w:rsidRDefault="005C59B3" w:rsidP="005C59B3">
      <w:pPr>
        <w:numPr>
          <w:ilvl w:val="0"/>
          <w:numId w:val="25"/>
        </w:numPr>
        <w:tabs>
          <w:tab w:val="num" w:pos="720"/>
        </w:tabs>
        <w:spacing w:line="360" w:lineRule="auto"/>
        <w:jc w:val="both"/>
        <w:rPr>
          <w:rFonts w:ascii="Arial" w:hAnsi="Arial" w:cs="Arial"/>
          <w:sz w:val="20"/>
        </w:rPr>
      </w:pPr>
      <w:r w:rsidRPr="00743018">
        <w:rPr>
          <w:rFonts w:ascii="Arial" w:hAnsi="Arial" w:cs="Arial"/>
          <w:sz w:val="20"/>
        </w:rPr>
        <w:t>The objective of this survey is to understand the views of relevant stakeholders on the issues in investor protection in their jurisdictions and the pertinent issues that should be covered in a standard on investor protection for Islamic capital markets. The survey takes a fairly broad view of investor protection that covers dispute resolution and redress</w:t>
      </w:r>
      <w:r w:rsidR="00F02308" w:rsidRPr="00EA0C1E">
        <w:rPr>
          <w:rFonts w:ascii="Arial" w:hAnsi="Arial" w:cs="Arial"/>
          <w:sz w:val="20"/>
        </w:rPr>
        <w:t>, as well as product regulation, suitability, disclosure, fair treatment of investors, client agreements, handling of client assets, etc.</w:t>
      </w:r>
    </w:p>
    <w:p w:rsidR="005C59B3" w:rsidRPr="00743018" w:rsidRDefault="005C59B3" w:rsidP="005C59B3">
      <w:pPr>
        <w:spacing w:line="360" w:lineRule="auto"/>
        <w:jc w:val="both"/>
        <w:rPr>
          <w:rFonts w:ascii="Arial" w:hAnsi="Arial" w:cs="Arial"/>
          <w:sz w:val="20"/>
        </w:rPr>
      </w:pPr>
    </w:p>
    <w:p w:rsidR="005C59B3" w:rsidRPr="00743018" w:rsidRDefault="005C59B3" w:rsidP="005C59B3">
      <w:pPr>
        <w:numPr>
          <w:ilvl w:val="0"/>
          <w:numId w:val="25"/>
        </w:numPr>
        <w:tabs>
          <w:tab w:val="num" w:pos="720"/>
        </w:tabs>
        <w:spacing w:line="360" w:lineRule="auto"/>
        <w:jc w:val="both"/>
        <w:rPr>
          <w:rFonts w:ascii="Arial" w:hAnsi="Arial" w:cs="Arial"/>
          <w:sz w:val="20"/>
        </w:rPr>
      </w:pPr>
      <w:r w:rsidRPr="00743018">
        <w:rPr>
          <w:rFonts w:ascii="Arial" w:hAnsi="Arial" w:cs="Arial"/>
          <w:sz w:val="20"/>
        </w:rPr>
        <w:t>All individual responses to the Survey will be treated as confidential and will be used strictly for developing the revised Standard in conjunction with the Working Group.</w:t>
      </w:r>
    </w:p>
    <w:p w:rsidR="005C59B3" w:rsidRPr="00743018" w:rsidRDefault="005C59B3" w:rsidP="005C59B3">
      <w:pPr>
        <w:spacing w:line="360" w:lineRule="auto"/>
        <w:ind w:left="360"/>
        <w:jc w:val="both"/>
        <w:rPr>
          <w:rFonts w:ascii="Arial" w:hAnsi="Arial" w:cs="Arial"/>
          <w:sz w:val="20"/>
        </w:rPr>
      </w:pPr>
    </w:p>
    <w:p w:rsidR="005C59B3" w:rsidRPr="00743018" w:rsidRDefault="005C59B3" w:rsidP="005C59B3">
      <w:pPr>
        <w:numPr>
          <w:ilvl w:val="0"/>
          <w:numId w:val="25"/>
        </w:numPr>
        <w:tabs>
          <w:tab w:val="num" w:pos="720"/>
        </w:tabs>
        <w:spacing w:line="360" w:lineRule="auto"/>
        <w:jc w:val="both"/>
        <w:rPr>
          <w:rFonts w:ascii="Arial" w:hAnsi="Arial" w:cs="Arial"/>
          <w:bCs/>
          <w:sz w:val="20"/>
        </w:rPr>
      </w:pPr>
      <w:r w:rsidRPr="00743018">
        <w:rPr>
          <w:rFonts w:ascii="Arial" w:hAnsi="Arial" w:cs="Arial"/>
          <w:sz w:val="20"/>
        </w:rPr>
        <w:t xml:space="preserve">This Survey Questionnaire is for completion by </w:t>
      </w:r>
      <w:r w:rsidRPr="00743018">
        <w:rPr>
          <w:rFonts w:ascii="Arial" w:hAnsi="Arial" w:cs="Arial"/>
          <w:bCs/>
          <w:iCs/>
          <w:sz w:val="20"/>
          <w:lang w:eastAsia="en-GB"/>
        </w:rPr>
        <w:t>market players and investors</w:t>
      </w:r>
      <w:r w:rsidRPr="00743018">
        <w:rPr>
          <w:rFonts w:ascii="Arial" w:hAnsi="Arial" w:cs="Arial"/>
          <w:sz w:val="20"/>
        </w:rPr>
        <w:t>.</w:t>
      </w:r>
    </w:p>
    <w:p w:rsidR="005C59B3" w:rsidRPr="00743018" w:rsidRDefault="005C59B3" w:rsidP="005C59B3">
      <w:pPr>
        <w:spacing w:line="360" w:lineRule="auto"/>
        <w:jc w:val="both"/>
        <w:rPr>
          <w:rFonts w:ascii="Arial" w:hAnsi="Arial" w:cs="Arial"/>
          <w:sz w:val="20"/>
        </w:rPr>
      </w:pPr>
    </w:p>
    <w:p w:rsidR="00A74F4F" w:rsidRDefault="005C59B3" w:rsidP="00A74F4F">
      <w:pPr>
        <w:numPr>
          <w:ilvl w:val="0"/>
          <w:numId w:val="25"/>
        </w:numPr>
        <w:tabs>
          <w:tab w:val="num" w:pos="720"/>
        </w:tabs>
        <w:spacing w:line="360" w:lineRule="auto"/>
        <w:jc w:val="both"/>
        <w:rPr>
          <w:rFonts w:ascii="Arial" w:hAnsi="Arial" w:cs="Arial"/>
          <w:sz w:val="20"/>
        </w:rPr>
      </w:pPr>
      <w:r w:rsidRPr="00743018">
        <w:rPr>
          <w:rFonts w:ascii="Arial" w:hAnsi="Arial" w:cs="Arial"/>
          <w:sz w:val="20"/>
        </w:rPr>
        <w:t>To the best of your experience and knowledge, please provide responses that most accurately describe the position or practice of your institution in your jurisdiction in relation to each question. If you consider it useful, please explain your answer in the space provided following the question, where applicable, and describe necessary information which you think is relevant, particularly information that supports your answer. The precision and clarity of your answers is essential in ensuring the accuracy of this Survey.</w:t>
      </w:r>
    </w:p>
    <w:p w:rsidR="00A74F4F" w:rsidRDefault="00A74F4F" w:rsidP="00A74F4F">
      <w:pPr>
        <w:pStyle w:val="ListParagraph"/>
        <w:rPr>
          <w:rFonts w:asciiTheme="minorBidi" w:hAnsiTheme="minorBidi"/>
          <w:sz w:val="20"/>
          <w:szCs w:val="20"/>
          <w:lang w:val="en-MY"/>
        </w:rPr>
      </w:pPr>
    </w:p>
    <w:p w:rsidR="00A74F4F" w:rsidRPr="00A74F4F" w:rsidRDefault="00A74F4F" w:rsidP="00A74F4F">
      <w:pPr>
        <w:numPr>
          <w:ilvl w:val="0"/>
          <w:numId w:val="25"/>
        </w:numPr>
        <w:tabs>
          <w:tab w:val="num" w:pos="720"/>
        </w:tabs>
        <w:spacing w:line="360" w:lineRule="auto"/>
        <w:jc w:val="both"/>
        <w:rPr>
          <w:rFonts w:ascii="Arial" w:hAnsi="Arial" w:cs="Arial"/>
          <w:sz w:val="20"/>
        </w:rPr>
      </w:pPr>
      <w:r w:rsidRPr="00A74F4F">
        <w:rPr>
          <w:rFonts w:asciiTheme="minorBidi" w:hAnsiTheme="minorBidi"/>
          <w:sz w:val="20"/>
          <w:szCs w:val="20"/>
          <w:lang w:val="en-MY"/>
        </w:rPr>
        <w:lastRenderedPageBreak/>
        <w:t xml:space="preserve">The Secretariat would highly appreciate your cooperation to complete the survey questionnaire </w:t>
      </w:r>
      <w:r w:rsidRPr="00A74F4F">
        <w:rPr>
          <w:rFonts w:asciiTheme="minorBidi" w:hAnsiTheme="minorBidi"/>
          <w:sz w:val="20"/>
          <w:szCs w:val="20"/>
        </w:rPr>
        <w:t xml:space="preserve">via online at </w:t>
      </w:r>
      <w:hyperlink r:id="rId9" w:history="1">
        <w:r w:rsidRPr="00A74F4F">
          <w:rPr>
            <w:rFonts w:asciiTheme="minorBidi" w:hAnsiTheme="minorBidi"/>
            <w:sz w:val="20"/>
            <w:szCs w:val="20"/>
            <w:u w:val="single"/>
          </w:rPr>
          <w:t>https://ipicm.questionpro.com</w:t>
        </w:r>
      </w:hyperlink>
      <w:r w:rsidRPr="00A74F4F">
        <w:rPr>
          <w:rFonts w:asciiTheme="minorBidi" w:hAnsiTheme="minorBidi"/>
          <w:sz w:val="20"/>
          <w:szCs w:val="20"/>
        </w:rPr>
        <w:t xml:space="preserve"> </w:t>
      </w:r>
      <w:r w:rsidRPr="00A74F4F">
        <w:rPr>
          <w:rFonts w:asciiTheme="minorBidi" w:hAnsiTheme="minorBidi"/>
          <w:sz w:val="20"/>
          <w:szCs w:val="20"/>
          <w:lang w:val="en-MY"/>
        </w:rPr>
        <w:t xml:space="preserve">on or before </w:t>
      </w:r>
      <w:r w:rsidRPr="00A74F4F">
        <w:rPr>
          <w:rFonts w:asciiTheme="minorBidi" w:hAnsiTheme="minorBidi"/>
          <w:b/>
          <w:bCs/>
          <w:sz w:val="20"/>
          <w:szCs w:val="20"/>
        </w:rPr>
        <w:t>15 March 2019</w:t>
      </w:r>
      <w:r w:rsidRPr="00A74F4F">
        <w:rPr>
          <w:rFonts w:asciiTheme="minorBidi" w:hAnsiTheme="minorBidi"/>
          <w:sz w:val="20"/>
          <w:szCs w:val="20"/>
          <w:lang w:val="en-MY"/>
        </w:rPr>
        <w:t xml:space="preserve">. </w:t>
      </w:r>
      <w:r w:rsidRPr="00A74F4F">
        <w:rPr>
          <w:rFonts w:asciiTheme="minorBidi" w:hAnsiTheme="minorBidi"/>
          <w:sz w:val="20"/>
          <w:szCs w:val="20"/>
        </w:rPr>
        <w:t xml:space="preserve">Ms. </w:t>
      </w:r>
      <w:proofErr w:type="spellStart"/>
      <w:r w:rsidRPr="00A74F4F">
        <w:rPr>
          <w:rFonts w:asciiTheme="minorBidi" w:hAnsiTheme="minorBidi"/>
          <w:sz w:val="20"/>
          <w:szCs w:val="20"/>
        </w:rPr>
        <w:t>Aminath</w:t>
      </w:r>
      <w:proofErr w:type="spellEnd"/>
      <w:r w:rsidRPr="00A74F4F">
        <w:rPr>
          <w:rFonts w:asciiTheme="minorBidi" w:hAnsiTheme="minorBidi"/>
          <w:sz w:val="20"/>
          <w:szCs w:val="20"/>
        </w:rPr>
        <w:t xml:space="preserve"> </w:t>
      </w:r>
      <w:proofErr w:type="spellStart"/>
      <w:r w:rsidRPr="00A74F4F">
        <w:rPr>
          <w:rFonts w:asciiTheme="minorBidi" w:hAnsiTheme="minorBidi"/>
          <w:sz w:val="20"/>
          <w:szCs w:val="20"/>
        </w:rPr>
        <w:t>Amany</w:t>
      </w:r>
      <w:proofErr w:type="spellEnd"/>
      <w:r w:rsidRPr="00A74F4F">
        <w:rPr>
          <w:rFonts w:asciiTheme="minorBidi" w:hAnsiTheme="minorBidi"/>
          <w:sz w:val="20"/>
          <w:szCs w:val="20"/>
        </w:rPr>
        <w:t xml:space="preserve"> Ahmed (email: </w:t>
      </w:r>
      <w:hyperlink r:id="rId10" w:history="1">
        <w:r w:rsidRPr="00A74F4F">
          <w:rPr>
            <w:rFonts w:asciiTheme="minorBidi" w:hAnsiTheme="minorBidi"/>
            <w:sz w:val="20"/>
            <w:szCs w:val="20"/>
            <w:u w:val="single"/>
          </w:rPr>
          <w:t>aminath.amany@ifsb.org</w:t>
        </w:r>
      </w:hyperlink>
      <w:r w:rsidRPr="00A74F4F">
        <w:rPr>
          <w:rFonts w:asciiTheme="minorBidi" w:hAnsiTheme="minorBidi"/>
          <w:sz w:val="20"/>
          <w:szCs w:val="20"/>
        </w:rPr>
        <w:t xml:space="preserve"> or </w:t>
      </w:r>
      <w:proofErr w:type="spellStart"/>
      <w:r w:rsidRPr="00A74F4F">
        <w:rPr>
          <w:rFonts w:asciiTheme="minorBidi" w:hAnsiTheme="minorBidi"/>
          <w:sz w:val="20"/>
          <w:szCs w:val="20"/>
        </w:rPr>
        <w:t>tel</w:t>
      </w:r>
      <w:proofErr w:type="spellEnd"/>
      <w:r w:rsidRPr="00A74F4F">
        <w:rPr>
          <w:rFonts w:asciiTheme="minorBidi" w:hAnsiTheme="minorBidi"/>
          <w:sz w:val="20"/>
          <w:szCs w:val="20"/>
        </w:rPr>
        <w:t xml:space="preserve"> +603-9195 1437)</w:t>
      </w:r>
      <w:r w:rsidRPr="00A74F4F">
        <w:rPr>
          <w:rFonts w:asciiTheme="minorBidi" w:hAnsiTheme="minorBidi"/>
          <w:sz w:val="20"/>
          <w:szCs w:val="20"/>
          <w:lang w:val="en-MY"/>
        </w:rPr>
        <w:t xml:space="preserve"> is the project manager for this </w:t>
      </w:r>
      <w:r w:rsidRPr="00A74F4F">
        <w:rPr>
          <w:rFonts w:asciiTheme="minorBidi" w:hAnsiTheme="minorBidi"/>
          <w:sz w:val="20"/>
          <w:szCs w:val="20"/>
        </w:rPr>
        <w:t>standard</w:t>
      </w:r>
      <w:r w:rsidRPr="00A74F4F">
        <w:rPr>
          <w:rFonts w:asciiTheme="minorBidi" w:hAnsiTheme="minorBidi"/>
          <w:sz w:val="20"/>
          <w:szCs w:val="20"/>
          <w:lang w:val="en-MY"/>
        </w:rPr>
        <w:t xml:space="preserve">, and </w:t>
      </w:r>
      <w:r w:rsidRPr="00A74F4F">
        <w:rPr>
          <w:rFonts w:asciiTheme="minorBidi" w:hAnsiTheme="minorBidi"/>
          <w:sz w:val="20"/>
          <w:szCs w:val="20"/>
        </w:rPr>
        <w:t>s</w:t>
      </w:r>
      <w:r w:rsidRPr="00A74F4F">
        <w:rPr>
          <w:rFonts w:asciiTheme="minorBidi" w:hAnsiTheme="minorBidi"/>
          <w:sz w:val="20"/>
          <w:szCs w:val="20"/>
          <w:lang w:val="en-MY"/>
        </w:rPr>
        <w:t>he will be pleased to respond to any enquiries you may have.</w:t>
      </w:r>
      <w:r w:rsidRPr="00A74F4F">
        <w:rPr>
          <w:rFonts w:asciiTheme="minorBidi" w:hAnsiTheme="minorBidi"/>
          <w:sz w:val="20"/>
          <w:szCs w:val="20"/>
        </w:rPr>
        <w:t xml:space="preserve"> </w:t>
      </w:r>
    </w:p>
    <w:p w:rsidR="005C59B3" w:rsidRPr="00743018" w:rsidRDefault="005C59B3" w:rsidP="005C59B3">
      <w:pPr>
        <w:jc w:val="both"/>
        <w:rPr>
          <w:rFonts w:ascii="Arial" w:eastAsia="Calibri" w:hAnsi="Arial" w:cs="Arial"/>
          <w:sz w:val="21"/>
          <w:szCs w:val="21"/>
        </w:rPr>
      </w:pPr>
    </w:p>
    <w:p w:rsidR="005C59B3" w:rsidRPr="00743018" w:rsidRDefault="005C59B3" w:rsidP="005C59B3">
      <w:pPr>
        <w:rPr>
          <w:rFonts w:ascii="Arial" w:eastAsia="Calibri" w:hAnsi="Arial" w:cs="Arial"/>
          <w:b/>
          <w:sz w:val="21"/>
          <w:szCs w:val="21"/>
        </w:rPr>
      </w:pPr>
      <w:r w:rsidRPr="00743018">
        <w:rPr>
          <w:rFonts w:ascii="Arial" w:eastAsia="Calibri" w:hAnsi="Arial" w:cs="Arial"/>
          <w:b/>
          <w:sz w:val="21"/>
          <w:szCs w:val="21"/>
        </w:rPr>
        <w:br w:type="page"/>
      </w:r>
    </w:p>
    <w:p w:rsidR="005C59B3" w:rsidRPr="00743018" w:rsidRDefault="005C59B3" w:rsidP="008B1B50">
      <w:pPr>
        <w:numPr>
          <w:ilvl w:val="0"/>
          <w:numId w:val="24"/>
        </w:numPr>
        <w:tabs>
          <w:tab w:val="left" w:pos="426"/>
        </w:tabs>
        <w:spacing w:after="160"/>
        <w:ind w:left="567" w:hanging="567"/>
        <w:jc w:val="both"/>
        <w:rPr>
          <w:rFonts w:ascii="Arial" w:eastAsia="Calibri" w:hAnsi="Arial" w:cs="Arial"/>
          <w:sz w:val="21"/>
          <w:szCs w:val="21"/>
        </w:rPr>
      </w:pPr>
      <w:r w:rsidRPr="00743018">
        <w:rPr>
          <w:rFonts w:ascii="Arial" w:eastAsia="Calibri" w:hAnsi="Arial" w:cs="Arial"/>
          <w:sz w:val="21"/>
          <w:szCs w:val="21"/>
        </w:rPr>
        <w:lastRenderedPageBreak/>
        <w:tab/>
      </w:r>
      <w:r w:rsidR="008B1B50" w:rsidRPr="00743018">
        <w:rPr>
          <w:rFonts w:ascii="Arial" w:eastAsia="Calibri" w:hAnsi="Arial" w:cs="Arial"/>
          <w:b/>
          <w:sz w:val="20"/>
          <w:szCs w:val="21"/>
        </w:rPr>
        <w:t>Which of the following</w:t>
      </w:r>
      <w:r w:rsidRPr="00743018">
        <w:rPr>
          <w:rFonts w:ascii="Arial" w:eastAsia="Calibri" w:hAnsi="Arial" w:cs="Arial"/>
          <w:b/>
          <w:sz w:val="20"/>
          <w:szCs w:val="21"/>
        </w:rPr>
        <w:t xml:space="preserve"> role</w:t>
      </w:r>
      <w:r w:rsidR="008B1B50" w:rsidRPr="00743018">
        <w:rPr>
          <w:rFonts w:ascii="Arial" w:eastAsia="Calibri" w:hAnsi="Arial" w:cs="Arial"/>
          <w:b/>
          <w:sz w:val="20"/>
          <w:szCs w:val="21"/>
        </w:rPr>
        <w:t>s</w:t>
      </w:r>
      <w:r w:rsidRPr="00743018">
        <w:rPr>
          <w:rFonts w:ascii="Arial" w:eastAsia="Calibri" w:hAnsi="Arial" w:cs="Arial"/>
          <w:b/>
          <w:sz w:val="20"/>
          <w:szCs w:val="21"/>
        </w:rPr>
        <w:t xml:space="preserve"> do you play in the Islamic capital markets</w:t>
      </w:r>
      <w:r w:rsidR="008B1B50" w:rsidRPr="00743018">
        <w:rPr>
          <w:rFonts w:ascii="Arial" w:eastAsia="Calibri" w:hAnsi="Arial" w:cs="Arial"/>
          <w:b/>
          <w:sz w:val="20"/>
          <w:szCs w:val="21"/>
        </w:rPr>
        <w:t>? Please describe</w:t>
      </w:r>
      <w:r w:rsidR="00E74AAA" w:rsidRPr="00743018">
        <w:rPr>
          <w:rFonts w:ascii="Arial" w:eastAsia="Calibri" w:hAnsi="Arial" w:cs="Arial"/>
          <w:b/>
          <w:sz w:val="20"/>
          <w:szCs w:val="21"/>
        </w:rPr>
        <w:t xml:space="preserve"> more fully</w:t>
      </w:r>
      <w:r w:rsidR="008B1B50" w:rsidRPr="00743018">
        <w:rPr>
          <w:rFonts w:ascii="Arial" w:eastAsia="Calibri" w:hAnsi="Arial" w:cs="Arial"/>
          <w:b/>
          <w:sz w:val="20"/>
          <w:szCs w:val="21"/>
        </w:rPr>
        <w:t xml:space="preserve"> below.</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0"/>
        <w:gridCol w:w="7229"/>
        <w:gridCol w:w="1367"/>
      </w:tblGrid>
      <w:tr w:rsidR="00743018" w:rsidRPr="00743018" w:rsidTr="00B42DA6">
        <w:trPr>
          <w:trHeight w:val="397"/>
          <w:jc w:val="center"/>
        </w:trPr>
        <w:tc>
          <w:tcPr>
            <w:tcW w:w="233" w:type="pct"/>
            <w:tcBorders>
              <w:top w:val="dotted" w:sz="4" w:space="0" w:color="auto"/>
              <w:left w:val="dotted" w:sz="4" w:space="0" w:color="auto"/>
              <w:bottom w:val="dotted" w:sz="4" w:space="0" w:color="auto"/>
              <w:right w:val="dotted" w:sz="4" w:space="0" w:color="auto"/>
            </w:tcBorders>
            <w:vAlign w:val="center"/>
          </w:tcPr>
          <w:p w:rsidR="00B42DA6" w:rsidRPr="00743018" w:rsidRDefault="00B42DA6" w:rsidP="00B42DA6">
            <w:pPr>
              <w:rPr>
                <w:rFonts w:ascii="Arial" w:hAnsi="Arial" w:cs="Arial"/>
                <w:sz w:val="20"/>
                <w:szCs w:val="21"/>
              </w:rPr>
            </w:pPr>
            <w:proofErr w:type="spellStart"/>
            <w:r w:rsidRPr="00743018">
              <w:rPr>
                <w:rFonts w:ascii="Arial" w:hAnsi="Arial" w:cs="Arial"/>
                <w:sz w:val="20"/>
                <w:szCs w:val="21"/>
              </w:rPr>
              <w:t>i</w:t>
            </w:r>
            <w:proofErr w:type="spellEnd"/>
            <w:r w:rsidRPr="00743018">
              <w:rPr>
                <w:rFonts w:ascii="Arial" w:hAnsi="Arial" w:cs="Arial"/>
                <w:sz w:val="20"/>
                <w:szCs w:val="21"/>
              </w:rPr>
              <w:t>.</w:t>
            </w:r>
          </w:p>
        </w:tc>
        <w:tc>
          <w:tcPr>
            <w:tcW w:w="4009" w:type="pct"/>
            <w:tcBorders>
              <w:top w:val="dotted" w:sz="4" w:space="0" w:color="auto"/>
              <w:left w:val="dotted" w:sz="4" w:space="0" w:color="auto"/>
              <w:bottom w:val="dotted" w:sz="4" w:space="0" w:color="auto"/>
              <w:right w:val="dotted" w:sz="4" w:space="0" w:color="auto"/>
            </w:tcBorders>
            <w:noWrap/>
            <w:vAlign w:val="center"/>
          </w:tcPr>
          <w:p w:rsidR="00B42DA6" w:rsidRPr="00743018" w:rsidRDefault="00B42DA6" w:rsidP="0079398F">
            <w:pPr>
              <w:jc w:val="both"/>
              <w:rPr>
                <w:rFonts w:ascii="Arial" w:hAnsi="Arial" w:cs="Arial"/>
                <w:sz w:val="20"/>
                <w:szCs w:val="21"/>
              </w:rPr>
            </w:pPr>
            <w:r w:rsidRPr="00743018">
              <w:rPr>
                <w:rFonts w:ascii="Arial" w:hAnsi="Arial" w:cs="Arial"/>
                <w:sz w:val="20"/>
                <w:szCs w:val="21"/>
              </w:rPr>
              <w:t>Investor</w:t>
            </w:r>
          </w:p>
        </w:tc>
        <w:tc>
          <w:tcPr>
            <w:tcW w:w="758" w:type="pct"/>
            <w:tcBorders>
              <w:top w:val="dotted" w:sz="4" w:space="0" w:color="auto"/>
              <w:left w:val="dotted" w:sz="4" w:space="0" w:color="auto"/>
              <w:bottom w:val="dotted" w:sz="4" w:space="0" w:color="auto"/>
              <w:right w:val="dotted" w:sz="4" w:space="0" w:color="auto"/>
            </w:tcBorders>
            <w:noWrap/>
            <w:vAlign w:val="center"/>
          </w:tcPr>
          <w:p w:rsidR="00B42DA6" w:rsidRPr="00743018" w:rsidRDefault="00B42DA6" w:rsidP="0079398F">
            <w:pPr>
              <w:jc w:val="center"/>
              <w:rPr>
                <w:rFonts w:ascii="Arial" w:eastAsia="Times New Roman" w:hAnsi="Arial" w:cs="Arial"/>
                <w:sz w:val="20"/>
                <w:szCs w:val="21"/>
              </w:rPr>
            </w:pPr>
            <w:r w:rsidRPr="00743018">
              <w:rPr>
                <w:rFonts w:ascii="Batang" w:hAnsi="Batang" w:cs="Arial" w:hint="eastAsia"/>
                <w:sz w:val="20"/>
                <w:szCs w:val="21"/>
              </w:rPr>
              <w:t>□</w:t>
            </w:r>
          </w:p>
        </w:tc>
      </w:tr>
      <w:tr w:rsidR="00743018" w:rsidRPr="00743018" w:rsidTr="00B42DA6">
        <w:trPr>
          <w:trHeight w:val="397"/>
          <w:jc w:val="center"/>
        </w:trPr>
        <w:tc>
          <w:tcPr>
            <w:tcW w:w="233" w:type="pct"/>
            <w:tcBorders>
              <w:top w:val="dotted" w:sz="4" w:space="0" w:color="auto"/>
              <w:left w:val="dotted" w:sz="4" w:space="0" w:color="auto"/>
              <w:bottom w:val="dotted" w:sz="4" w:space="0" w:color="auto"/>
              <w:right w:val="dotted" w:sz="4" w:space="0" w:color="auto"/>
            </w:tcBorders>
            <w:vAlign w:val="center"/>
          </w:tcPr>
          <w:p w:rsidR="00B42DA6" w:rsidRPr="00743018" w:rsidRDefault="00B42DA6" w:rsidP="00B42DA6">
            <w:pPr>
              <w:rPr>
                <w:rFonts w:ascii="Arial" w:hAnsi="Arial" w:cs="Arial"/>
                <w:sz w:val="20"/>
                <w:szCs w:val="21"/>
              </w:rPr>
            </w:pPr>
            <w:r w:rsidRPr="00743018">
              <w:rPr>
                <w:rFonts w:ascii="Arial" w:hAnsi="Arial" w:cs="Arial"/>
                <w:sz w:val="20"/>
                <w:szCs w:val="21"/>
              </w:rPr>
              <w:t>ii.</w:t>
            </w:r>
          </w:p>
        </w:tc>
        <w:tc>
          <w:tcPr>
            <w:tcW w:w="4009" w:type="pct"/>
            <w:tcBorders>
              <w:top w:val="dotted" w:sz="4" w:space="0" w:color="auto"/>
              <w:left w:val="dotted" w:sz="4" w:space="0" w:color="auto"/>
              <w:bottom w:val="dotted" w:sz="4" w:space="0" w:color="auto"/>
              <w:right w:val="dotted" w:sz="4" w:space="0" w:color="auto"/>
            </w:tcBorders>
            <w:noWrap/>
            <w:vAlign w:val="center"/>
          </w:tcPr>
          <w:p w:rsidR="00B42DA6" w:rsidRPr="00743018" w:rsidRDefault="00B42DA6" w:rsidP="0079398F">
            <w:pPr>
              <w:jc w:val="both"/>
              <w:rPr>
                <w:rFonts w:ascii="Arial" w:hAnsi="Arial" w:cs="Arial"/>
                <w:sz w:val="20"/>
                <w:szCs w:val="21"/>
              </w:rPr>
            </w:pPr>
            <w:r w:rsidRPr="00743018">
              <w:rPr>
                <w:rFonts w:ascii="Arial" w:hAnsi="Arial" w:cs="Arial"/>
                <w:sz w:val="20"/>
                <w:szCs w:val="21"/>
              </w:rPr>
              <w:t>Issuer</w:t>
            </w:r>
          </w:p>
        </w:tc>
        <w:tc>
          <w:tcPr>
            <w:tcW w:w="758" w:type="pct"/>
            <w:tcBorders>
              <w:top w:val="dotted" w:sz="4" w:space="0" w:color="auto"/>
              <w:left w:val="dotted" w:sz="4" w:space="0" w:color="auto"/>
              <w:bottom w:val="dotted" w:sz="4" w:space="0" w:color="auto"/>
              <w:right w:val="dotted" w:sz="4" w:space="0" w:color="auto"/>
            </w:tcBorders>
            <w:noWrap/>
            <w:vAlign w:val="center"/>
          </w:tcPr>
          <w:p w:rsidR="00B42DA6" w:rsidRPr="00743018" w:rsidRDefault="00B42DA6" w:rsidP="0079398F">
            <w:pPr>
              <w:jc w:val="center"/>
              <w:rPr>
                <w:rFonts w:ascii="Batang" w:hAnsi="Batang" w:cs="Arial"/>
                <w:sz w:val="20"/>
                <w:szCs w:val="21"/>
              </w:rPr>
            </w:pPr>
            <w:r w:rsidRPr="00743018">
              <w:rPr>
                <w:rFonts w:ascii="Batang" w:hAnsi="Batang" w:cs="Arial" w:hint="eastAsia"/>
                <w:sz w:val="20"/>
                <w:szCs w:val="21"/>
              </w:rPr>
              <w:t>□</w:t>
            </w:r>
          </w:p>
        </w:tc>
      </w:tr>
      <w:tr w:rsidR="00743018" w:rsidRPr="00743018" w:rsidTr="00B42DA6">
        <w:trPr>
          <w:trHeight w:val="397"/>
          <w:jc w:val="center"/>
        </w:trPr>
        <w:tc>
          <w:tcPr>
            <w:tcW w:w="233" w:type="pct"/>
            <w:tcBorders>
              <w:top w:val="dotted" w:sz="4" w:space="0" w:color="auto"/>
              <w:left w:val="dotted" w:sz="4" w:space="0" w:color="auto"/>
              <w:bottom w:val="dotted" w:sz="4" w:space="0" w:color="auto"/>
              <w:right w:val="dotted" w:sz="4" w:space="0" w:color="auto"/>
            </w:tcBorders>
            <w:vAlign w:val="center"/>
          </w:tcPr>
          <w:p w:rsidR="00B42DA6" w:rsidRPr="00743018" w:rsidRDefault="00B42DA6" w:rsidP="00B42DA6">
            <w:pPr>
              <w:rPr>
                <w:rFonts w:ascii="Arial" w:hAnsi="Arial" w:cs="Arial"/>
                <w:sz w:val="20"/>
                <w:szCs w:val="21"/>
              </w:rPr>
            </w:pPr>
            <w:r w:rsidRPr="00743018">
              <w:rPr>
                <w:rFonts w:ascii="Arial" w:hAnsi="Arial" w:cs="Arial"/>
                <w:sz w:val="20"/>
                <w:szCs w:val="21"/>
              </w:rPr>
              <w:t>iii.</w:t>
            </w:r>
          </w:p>
        </w:tc>
        <w:tc>
          <w:tcPr>
            <w:tcW w:w="4009" w:type="pct"/>
            <w:tcBorders>
              <w:top w:val="dotted" w:sz="4" w:space="0" w:color="auto"/>
              <w:left w:val="dotted" w:sz="4" w:space="0" w:color="auto"/>
              <w:bottom w:val="dotted" w:sz="4" w:space="0" w:color="auto"/>
              <w:right w:val="dotted" w:sz="4" w:space="0" w:color="auto"/>
            </w:tcBorders>
            <w:noWrap/>
            <w:vAlign w:val="center"/>
          </w:tcPr>
          <w:p w:rsidR="00B42DA6" w:rsidRPr="00743018" w:rsidRDefault="00B42DA6" w:rsidP="0079398F">
            <w:pPr>
              <w:jc w:val="both"/>
              <w:rPr>
                <w:rFonts w:ascii="Arial" w:hAnsi="Arial" w:cs="Arial"/>
                <w:sz w:val="20"/>
                <w:szCs w:val="21"/>
              </w:rPr>
            </w:pPr>
            <w:r w:rsidRPr="00743018">
              <w:rPr>
                <w:rFonts w:ascii="Arial" w:hAnsi="Arial" w:cs="Arial"/>
                <w:sz w:val="20"/>
                <w:szCs w:val="21"/>
              </w:rPr>
              <w:t>Intermediary (Fund manager, stockbroker, trustee etc.), please specify below</w:t>
            </w:r>
          </w:p>
        </w:tc>
        <w:tc>
          <w:tcPr>
            <w:tcW w:w="758" w:type="pct"/>
            <w:tcBorders>
              <w:top w:val="dotted" w:sz="4" w:space="0" w:color="auto"/>
              <w:left w:val="dotted" w:sz="4" w:space="0" w:color="auto"/>
              <w:bottom w:val="dotted" w:sz="4" w:space="0" w:color="auto"/>
              <w:right w:val="dotted" w:sz="4" w:space="0" w:color="auto"/>
            </w:tcBorders>
            <w:noWrap/>
            <w:vAlign w:val="center"/>
          </w:tcPr>
          <w:p w:rsidR="00B42DA6" w:rsidRPr="00743018" w:rsidRDefault="00B42DA6" w:rsidP="0079398F">
            <w:pPr>
              <w:jc w:val="center"/>
              <w:rPr>
                <w:rFonts w:ascii="Batang" w:hAnsi="Batang" w:cs="Arial"/>
                <w:sz w:val="20"/>
                <w:szCs w:val="21"/>
              </w:rPr>
            </w:pPr>
            <w:r w:rsidRPr="00743018">
              <w:rPr>
                <w:rFonts w:ascii="Batang" w:hAnsi="Batang" w:cs="Arial" w:hint="eastAsia"/>
                <w:sz w:val="20"/>
                <w:szCs w:val="21"/>
              </w:rPr>
              <w:t>□</w:t>
            </w:r>
          </w:p>
        </w:tc>
      </w:tr>
      <w:tr w:rsidR="00B42DA6" w:rsidRPr="00743018" w:rsidTr="00B42DA6">
        <w:trPr>
          <w:trHeight w:val="397"/>
          <w:jc w:val="center"/>
        </w:trPr>
        <w:tc>
          <w:tcPr>
            <w:tcW w:w="233" w:type="pct"/>
            <w:tcBorders>
              <w:top w:val="dotted" w:sz="4" w:space="0" w:color="auto"/>
              <w:left w:val="dotted" w:sz="4" w:space="0" w:color="auto"/>
              <w:bottom w:val="dotted" w:sz="4" w:space="0" w:color="auto"/>
              <w:right w:val="dotted" w:sz="4" w:space="0" w:color="auto"/>
            </w:tcBorders>
            <w:vAlign w:val="center"/>
          </w:tcPr>
          <w:p w:rsidR="00B42DA6" w:rsidRPr="00743018" w:rsidRDefault="00B42DA6" w:rsidP="00B42DA6">
            <w:pPr>
              <w:rPr>
                <w:rFonts w:ascii="Arial" w:hAnsi="Arial" w:cs="Arial"/>
                <w:sz w:val="20"/>
                <w:szCs w:val="21"/>
              </w:rPr>
            </w:pPr>
            <w:r w:rsidRPr="00743018">
              <w:rPr>
                <w:rFonts w:ascii="Arial" w:hAnsi="Arial" w:cs="Arial"/>
                <w:sz w:val="20"/>
                <w:szCs w:val="21"/>
              </w:rPr>
              <w:t>iv.</w:t>
            </w:r>
          </w:p>
        </w:tc>
        <w:tc>
          <w:tcPr>
            <w:tcW w:w="4009" w:type="pct"/>
            <w:tcBorders>
              <w:top w:val="dotted" w:sz="4" w:space="0" w:color="auto"/>
              <w:left w:val="dotted" w:sz="4" w:space="0" w:color="auto"/>
              <w:bottom w:val="dotted" w:sz="4" w:space="0" w:color="auto"/>
              <w:right w:val="dotted" w:sz="4" w:space="0" w:color="auto"/>
            </w:tcBorders>
            <w:noWrap/>
            <w:vAlign w:val="center"/>
          </w:tcPr>
          <w:p w:rsidR="00B42DA6" w:rsidRPr="00743018" w:rsidRDefault="00B42DA6" w:rsidP="0079398F">
            <w:pPr>
              <w:jc w:val="both"/>
              <w:rPr>
                <w:rFonts w:ascii="Arial" w:hAnsi="Arial" w:cs="Arial"/>
                <w:sz w:val="20"/>
                <w:szCs w:val="21"/>
              </w:rPr>
            </w:pPr>
            <w:r w:rsidRPr="00743018">
              <w:rPr>
                <w:rFonts w:ascii="Arial" w:hAnsi="Arial" w:cs="Arial"/>
                <w:sz w:val="20"/>
                <w:szCs w:val="21"/>
              </w:rPr>
              <w:t>Others, please specify below</w:t>
            </w:r>
          </w:p>
        </w:tc>
        <w:tc>
          <w:tcPr>
            <w:tcW w:w="758" w:type="pct"/>
            <w:tcBorders>
              <w:top w:val="dotted" w:sz="4" w:space="0" w:color="auto"/>
              <w:left w:val="dotted" w:sz="4" w:space="0" w:color="auto"/>
              <w:bottom w:val="dotted" w:sz="4" w:space="0" w:color="auto"/>
              <w:right w:val="dotted" w:sz="4" w:space="0" w:color="auto"/>
            </w:tcBorders>
            <w:noWrap/>
            <w:vAlign w:val="center"/>
          </w:tcPr>
          <w:p w:rsidR="00B42DA6" w:rsidRPr="00743018" w:rsidRDefault="00B42DA6" w:rsidP="0079398F">
            <w:pPr>
              <w:jc w:val="center"/>
              <w:rPr>
                <w:rFonts w:ascii="Batang" w:hAnsi="Batang" w:cs="Arial"/>
                <w:sz w:val="20"/>
                <w:szCs w:val="21"/>
              </w:rPr>
            </w:pPr>
            <w:r w:rsidRPr="00743018">
              <w:rPr>
                <w:rFonts w:ascii="Batang" w:hAnsi="Batang" w:cs="Arial" w:hint="eastAsia"/>
                <w:sz w:val="20"/>
                <w:szCs w:val="21"/>
              </w:rPr>
              <w:t>□</w:t>
            </w:r>
          </w:p>
        </w:tc>
      </w:tr>
    </w:tbl>
    <w:p w:rsidR="005C59B3" w:rsidRPr="00743018" w:rsidRDefault="005C59B3" w:rsidP="005C59B3">
      <w:pPr>
        <w:rPr>
          <w:rFonts w:ascii="Arial" w:eastAsia="Calibri" w:hAnsi="Arial" w:cs="Arial"/>
          <w:sz w:val="21"/>
          <w:szCs w:val="21"/>
        </w:rPr>
      </w:pPr>
    </w:p>
    <w:tbl>
      <w:tblPr>
        <w:tblW w:w="5000" w:type="pct"/>
        <w:tblInd w:w="-5" w:type="dxa"/>
        <w:tblBorders>
          <w:top w:val="dotted" w:sz="4" w:space="0" w:color="auto"/>
          <w:left w:val="dotted" w:sz="4" w:space="0" w:color="auto"/>
          <w:bottom w:val="dotted" w:sz="4" w:space="0" w:color="auto"/>
          <w:right w:val="dotted" w:sz="4" w:space="0" w:color="auto"/>
        </w:tblBorders>
        <w:tblLook w:val="04A0" w:firstRow="1" w:lastRow="0" w:firstColumn="1" w:lastColumn="0" w:noHBand="0" w:noVBand="1"/>
      </w:tblPr>
      <w:tblGrid>
        <w:gridCol w:w="9016"/>
      </w:tblGrid>
      <w:tr w:rsidR="00743018" w:rsidRPr="00743018" w:rsidTr="008B1B50">
        <w:trPr>
          <w:trHeight w:val="1896"/>
        </w:trPr>
        <w:tc>
          <w:tcPr>
            <w:tcW w:w="5000" w:type="pct"/>
            <w:shd w:val="clear" w:color="000000" w:fill="FFFFFF"/>
            <w:noWrap/>
            <w:hideMark/>
          </w:tcPr>
          <w:p w:rsidR="008B1B50" w:rsidRPr="00743018" w:rsidRDefault="008B1B50" w:rsidP="0079398F">
            <w:pPr>
              <w:rPr>
                <w:rFonts w:ascii="Arial" w:hAnsi="Arial" w:cs="Arial"/>
                <w:sz w:val="20"/>
                <w:szCs w:val="21"/>
              </w:rPr>
            </w:pPr>
            <w:r w:rsidRPr="00743018">
              <w:rPr>
                <w:rFonts w:ascii="Calibri" w:eastAsia="Times New Roman" w:hAnsi="Calibri" w:cs="Calibri"/>
                <w:sz w:val="20"/>
                <w:lang w:eastAsia="en-GB"/>
              </w:rPr>
              <w:t> </w:t>
            </w:r>
            <w:r w:rsidRPr="00743018">
              <w:rPr>
                <w:rFonts w:ascii="Arial" w:hAnsi="Arial" w:cs="Arial"/>
                <w:sz w:val="20"/>
                <w:szCs w:val="21"/>
              </w:rPr>
              <w:t>Please describe here</w:t>
            </w:r>
          </w:p>
          <w:p w:rsidR="008B1B50" w:rsidRPr="00743018" w:rsidRDefault="008B1B50" w:rsidP="0079398F">
            <w:pPr>
              <w:rPr>
                <w:rFonts w:ascii="Calibri" w:eastAsia="Times New Roman" w:hAnsi="Calibri" w:cs="Calibri"/>
                <w:sz w:val="20"/>
                <w:lang w:eastAsia="en-GB"/>
              </w:rPr>
            </w:pPr>
          </w:p>
        </w:tc>
      </w:tr>
    </w:tbl>
    <w:p w:rsidR="008B1B50" w:rsidRPr="00743018" w:rsidRDefault="008B1B50" w:rsidP="005C59B3">
      <w:pPr>
        <w:rPr>
          <w:rFonts w:ascii="Arial" w:eastAsia="Calibri" w:hAnsi="Arial" w:cs="Arial"/>
          <w:sz w:val="21"/>
          <w:szCs w:val="21"/>
        </w:rPr>
      </w:pPr>
    </w:p>
    <w:p w:rsidR="005C59B3" w:rsidRPr="00743018" w:rsidRDefault="005C59B3" w:rsidP="005C59B3">
      <w:pPr>
        <w:rPr>
          <w:rFonts w:ascii="Arial" w:eastAsia="Calibri" w:hAnsi="Arial" w:cs="Arial"/>
          <w:sz w:val="21"/>
          <w:szCs w:val="21"/>
        </w:rPr>
      </w:pPr>
    </w:p>
    <w:p w:rsidR="005C59B3" w:rsidRPr="00743018" w:rsidRDefault="005C59B3" w:rsidP="005C59B3">
      <w:pPr>
        <w:numPr>
          <w:ilvl w:val="0"/>
          <w:numId w:val="24"/>
        </w:numPr>
        <w:spacing w:after="160"/>
        <w:ind w:left="709" w:hanging="709"/>
        <w:jc w:val="both"/>
        <w:rPr>
          <w:rFonts w:ascii="Arial" w:eastAsia="Calibri" w:hAnsi="Arial" w:cs="Arial"/>
          <w:sz w:val="21"/>
          <w:szCs w:val="21"/>
        </w:rPr>
      </w:pPr>
      <w:r w:rsidRPr="00743018">
        <w:rPr>
          <w:rFonts w:ascii="Arial" w:eastAsia="Calibri" w:hAnsi="Arial" w:cs="Arial"/>
          <w:sz w:val="21"/>
          <w:szCs w:val="21"/>
        </w:rPr>
        <w:tab/>
      </w:r>
      <w:r w:rsidRPr="00743018">
        <w:rPr>
          <w:rFonts w:ascii="Arial" w:eastAsia="Calibri" w:hAnsi="Arial" w:cs="Arial"/>
          <w:b/>
          <w:sz w:val="20"/>
          <w:szCs w:val="21"/>
        </w:rPr>
        <w:t xml:space="preserve">Does your business in Islamic capital markets differ in any way from your business in conventional capital markets? </w:t>
      </w:r>
    </w:p>
    <w:tbl>
      <w:tblPr>
        <w:tblW w:w="5000" w:type="pct"/>
        <w:tblInd w:w="-5" w:type="dxa"/>
        <w:tblBorders>
          <w:top w:val="dotted" w:sz="4" w:space="0" w:color="auto"/>
          <w:left w:val="dotted" w:sz="4" w:space="0" w:color="auto"/>
          <w:bottom w:val="dotted" w:sz="4" w:space="0" w:color="auto"/>
          <w:right w:val="dotted" w:sz="4" w:space="0" w:color="auto"/>
        </w:tblBorders>
        <w:tblLook w:val="04A0" w:firstRow="1" w:lastRow="0" w:firstColumn="1" w:lastColumn="0" w:noHBand="0" w:noVBand="1"/>
      </w:tblPr>
      <w:tblGrid>
        <w:gridCol w:w="9016"/>
      </w:tblGrid>
      <w:tr w:rsidR="00743018" w:rsidRPr="00743018" w:rsidTr="00476F4B">
        <w:trPr>
          <w:trHeight w:val="1699"/>
        </w:trPr>
        <w:tc>
          <w:tcPr>
            <w:tcW w:w="5000" w:type="pct"/>
            <w:shd w:val="clear" w:color="000000" w:fill="FFFFFF"/>
            <w:noWrap/>
            <w:hideMark/>
          </w:tcPr>
          <w:p w:rsidR="005C59B3" w:rsidRPr="00743018" w:rsidRDefault="005C59B3" w:rsidP="005C3EBD">
            <w:pPr>
              <w:rPr>
                <w:rFonts w:ascii="Arial" w:hAnsi="Arial" w:cs="Arial"/>
                <w:sz w:val="20"/>
                <w:szCs w:val="21"/>
              </w:rPr>
            </w:pPr>
            <w:r w:rsidRPr="00743018">
              <w:rPr>
                <w:rFonts w:ascii="Calibri" w:eastAsia="Times New Roman" w:hAnsi="Calibri" w:cs="Calibri"/>
                <w:sz w:val="20"/>
                <w:lang w:eastAsia="en-GB"/>
              </w:rPr>
              <w:t> </w:t>
            </w:r>
            <w:r w:rsidRPr="00743018">
              <w:rPr>
                <w:rFonts w:ascii="Arial" w:hAnsi="Arial" w:cs="Arial"/>
                <w:sz w:val="20"/>
                <w:szCs w:val="21"/>
              </w:rPr>
              <w:t>Please describe here</w:t>
            </w:r>
          </w:p>
          <w:p w:rsidR="005C59B3" w:rsidRPr="00743018" w:rsidRDefault="005C59B3" w:rsidP="005C3EBD">
            <w:pPr>
              <w:rPr>
                <w:rFonts w:ascii="Calibri" w:eastAsia="Times New Roman" w:hAnsi="Calibri" w:cs="Calibri"/>
                <w:sz w:val="20"/>
                <w:lang w:eastAsia="en-GB"/>
              </w:rPr>
            </w:pPr>
          </w:p>
        </w:tc>
      </w:tr>
    </w:tbl>
    <w:p w:rsidR="005C59B3" w:rsidRPr="00743018" w:rsidRDefault="005C59B3" w:rsidP="005C59B3">
      <w:pPr>
        <w:rPr>
          <w:rFonts w:ascii="Arial" w:eastAsia="Calibri" w:hAnsi="Arial" w:cs="Arial"/>
          <w:sz w:val="21"/>
          <w:szCs w:val="21"/>
        </w:rPr>
      </w:pPr>
    </w:p>
    <w:p w:rsidR="005C59B3" w:rsidRPr="00743018" w:rsidRDefault="005C59B3" w:rsidP="005C59B3">
      <w:pPr>
        <w:rPr>
          <w:rFonts w:ascii="Arial" w:eastAsia="Calibri" w:hAnsi="Arial" w:cs="Arial"/>
          <w:sz w:val="21"/>
          <w:szCs w:val="21"/>
        </w:rPr>
      </w:pPr>
    </w:p>
    <w:p w:rsidR="005C59B3" w:rsidRPr="00743018" w:rsidRDefault="005C59B3" w:rsidP="005C59B3">
      <w:pPr>
        <w:numPr>
          <w:ilvl w:val="0"/>
          <w:numId w:val="24"/>
        </w:numPr>
        <w:spacing w:after="160"/>
        <w:ind w:left="709" w:hanging="709"/>
        <w:jc w:val="both"/>
        <w:rPr>
          <w:rFonts w:ascii="Arial" w:eastAsia="Calibri" w:hAnsi="Arial" w:cs="Arial"/>
          <w:b/>
          <w:sz w:val="20"/>
          <w:szCs w:val="21"/>
        </w:rPr>
      </w:pPr>
      <w:r w:rsidRPr="00743018">
        <w:rPr>
          <w:rFonts w:ascii="Arial" w:eastAsia="Calibri" w:hAnsi="Arial" w:cs="Arial"/>
          <w:sz w:val="21"/>
          <w:szCs w:val="21"/>
        </w:rPr>
        <w:tab/>
      </w:r>
      <w:r w:rsidR="00B42DA6" w:rsidRPr="00743018">
        <w:rPr>
          <w:rFonts w:ascii="Arial" w:eastAsia="Calibri" w:hAnsi="Arial" w:cs="Arial"/>
          <w:b/>
          <w:sz w:val="20"/>
          <w:szCs w:val="21"/>
        </w:rPr>
        <w:t>Which of the following categories do you believe are issues in investor protection in the Islamic Capital Markets?</w:t>
      </w:r>
      <w:r w:rsidR="00B42DA6" w:rsidRPr="00743018">
        <w:rPr>
          <w:rFonts w:ascii="Arial" w:eastAsia="Calibri" w:hAnsi="Arial" w:cs="Arial"/>
          <w:b/>
          <w:sz w:val="21"/>
          <w:szCs w:val="21"/>
        </w:rPr>
        <w:t xml:space="preserve"> </w:t>
      </w:r>
      <w:r w:rsidR="00706F78" w:rsidRPr="00743018">
        <w:rPr>
          <w:rFonts w:ascii="Arial" w:eastAsia="Calibri" w:hAnsi="Arial" w:cs="Arial"/>
          <w:b/>
          <w:sz w:val="20"/>
          <w:szCs w:val="21"/>
        </w:rPr>
        <w:t xml:space="preserve">Please describe </w:t>
      </w:r>
      <w:r w:rsidR="00E74AAA" w:rsidRPr="00743018">
        <w:rPr>
          <w:rFonts w:ascii="Arial" w:eastAsia="Calibri" w:hAnsi="Arial" w:cs="Arial"/>
          <w:b/>
          <w:sz w:val="20"/>
          <w:szCs w:val="21"/>
        </w:rPr>
        <w:t xml:space="preserve">the issues in more detail </w:t>
      </w:r>
      <w:r w:rsidR="00706F78" w:rsidRPr="00743018">
        <w:rPr>
          <w:rFonts w:ascii="Arial" w:eastAsia="Calibri" w:hAnsi="Arial" w:cs="Arial"/>
          <w:b/>
          <w:sz w:val="20"/>
          <w:szCs w:val="21"/>
        </w:rPr>
        <w:t>below.</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17"/>
        <w:gridCol w:w="7476"/>
        <w:gridCol w:w="1123"/>
      </w:tblGrid>
      <w:tr w:rsidR="00743018" w:rsidRPr="00743018" w:rsidTr="00706F78">
        <w:trPr>
          <w:trHeight w:val="397"/>
          <w:jc w:val="center"/>
        </w:trPr>
        <w:tc>
          <w:tcPr>
            <w:tcW w:w="231" w:type="pct"/>
            <w:tcBorders>
              <w:top w:val="dotted" w:sz="4" w:space="0" w:color="auto"/>
              <w:left w:val="dotted" w:sz="4" w:space="0" w:color="auto"/>
              <w:bottom w:val="dotted" w:sz="4" w:space="0" w:color="auto"/>
              <w:right w:val="dotted" w:sz="4" w:space="0" w:color="auto"/>
            </w:tcBorders>
            <w:vAlign w:val="center"/>
          </w:tcPr>
          <w:p w:rsidR="00706F78" w:rsidRPr="00743018" w:rsidRDefault="00706F78" w:rsidP="0079398F">
            <w:pPr>
              <w:rPr>
                <w:rFonts w:ascii="Arial" w:hAnsi="Arial" w:cs="Arial"/>
                <w:sz w:val="20"/>
                <w:szCs w:val="21"/>
              </w:rPr>
            </w:pPr>
            <w:proofErr w:type="spellStart"/>
            <w:r w:rsidRPr="00743018">
              <w:rPr>
                <w:rFonts w:ascii="Arial" w:hAnsi="Arial" w:cs="Arial"/>
                <w:sz w:val="20"/>
                <w:szCs w:val="21"/>
              </w:rPr>
              <w:t>i</w:t>
            </w:r>
            <w:proofErr w:type="spellEnd"/>
            <w:r w:rsidRPr="00743018">
              <w:rPr>
                <w:rFonts w:ascii="Arial" w:hAnsi="Arial" w:cs="Arial"/>
                <w:sz w:val="20"/>
                <w:szCs w:val="21"/>
              </w:rPr>
              <w:t>.</w:t>
            </w:r>
          </w:p>
        </w:tc>
        <w:tc>
          <w:tcPr>
            <w:tcW w:w="4146" w:type="pct"/>
            <w:tcBorders>
              <w:top w:val="dotted" w:sz="4" w:space="0" w:color="auto"/>
              <w:left w:val="dotted" w:sz="4" w:space="0" w:color="auto"/>
              <w:bottom w:val="dotted" w:sz="4" w:space="0" w:color="auto"/>
              <w:right w:val="dotted" w:sz="4" w:space="0" w:color="auto"/>
            </w:tcBorders>
            <w:noWrap/>
            <w:vAlign w:val="center"/>
          </w:tcPr>
          <w:p w:rsidR="00706F78" w:rsidRPr="00743018" w:rsidRDefault="00706F78" w:rsidP="0079398F">
            <w:pPr>
              <w:jc w:val="both"/>
              <w:rPr>
                <w:rFonts w:ascii="Arial" w:hAnsi="Arial" w:cs="Arial"/>
                <w:sz w:val="20"/>
                <w:szCs w:val="21"/>
              </w:rPr>
            </w:pPr>
            <w:r w:rsidRPr="00743018">
              <w:rPr>
                <w:rFonts w:ascii="Arial" w:hAnsi="Arial" w:cs="Arial"/>
                <w:sz w:val="20"/>
                <w:szCs w:val="21"/>
              </w:rPr>
              <w:t>Disclosure</w:t>
            </w:r>
          </w:p>
        </w:tc>
        <w:tc>
          <w:tcPr>
            <w:tcW w:w="623" w:type="pct"/>
            <w:tcBorders>
              <w:top w:val="dotted" w:sz="4" w:space="0" w:color="auto"/>
              <w:left w:val="dotted" w:sz="4" w:space="0" w:color="auto"/>
              <w:bottom w:val="dotted" w:sz="4" w:space="0" w:color="auto"/>
              <w:right w:val="dotted" w:sz="4" w:space="0" w:color="auto"/>
            </w:tcBorders>
            <w:noWrap/>
            <w:vAlign w:val="center"/>
          </w:tcPr>
          <w:p w:rsidR="00706F78" w:rsidRPr="00743018" w:rsidRDefault="00706F78" w:rsidP="0079398F">
            <w:pPr>
              <w:jc w:val="center"/>
              <w:rPr>
                <w:rFonts w:ascii="Arial" w:eastAsia="Times New Roman" w:hAnsi="Arial" w:cs="Arial"/>
                <w:sz w:val="20"/>
                <w:szCs w:val="21"/>
              </w:rPr>
            </w:pPr>
            <w:r w:rsidRPr="00743018">
              <w:rPr>
                <w:rFonts w:ascii="Batang" w:hAnsi="Batang" w:cs="Arial" w:hint="eastAsia"/>
                <w:sz w:val="20"/>
                <w:szCs w:val="21"/>
              </w:rPr>
              <w:t>□</w:t>
            </w:r>
          </w:p>
        </w:tc>
      </w:tr>
      <w:tr w:rsidR="00743018" w:rsidRPr="00743018" w:rsidTr="00706F78">
        <w:trPr>
          <w:trHeight w:val="397"/>
          <w:jc w:val="center"/>
        </w:trPr>
        <w:tc>
          <w:tcPr>
            <w:tcW w:w="231" w:type="pct"/>
            <w:tcBorders>
              <w:top w:val="dotted" w:sz="4" w:space="0" w:color="auto"/>
              <w:left w:val="dotted" w:sz="4" w:space="0" w:color="auto"/>
              <w:bottom w:val="dotted" w:sz="4" w:space="0" w:color="auto"/>
              <w:right w:val="dotted" w:sz="4" w:space="0" w:color="auto"/>
            </w:tcBorders>
            <w:vAlign w:val="center"/>
          </w:tcPr>
          <w:p w:rsidR="00E74AAA" w:rsidRPr="00743018" w:rsidRDefault="00E74AAA" w:rsidP="00E74AAA">
            <w:pPr>
              <w:rPr>
                <w:rFonts w:ascii="Arial" w:hAnsi="Arial" w:cs="Arial"/>
                <w:sz w:val="20"/>
                <w:szCs w:val="21"/>
              </w:rPr>
            </w:pPr>
            <w:r w:rsidRPr="00743018">
              <w:rPr>
                <w:rFonts w:ascii="Arial" w:hAnsi="Arial" w:cs="Arial"/>
                <w:sz w:val="20"/>
                <w:szCs w:val="21"/>
              </w:rPr>
              <w:t>ii</w:t>
            </w:r>
          </w:p>
        </w:tc>
        <w:tc>
          <w:tcPr>
            <w:tcW w:w="4146" w:type="pct"/>
            <w:tcBorders>
              <w:top w:val="dotted" w:sz="4" w:space="0" w:color="auto"/>
              <w:left w:val="dotted" w:sz="4" w:space="0" w:color="auto"/>
              <w:bottom w:val="dotted" w:sz="4" w:space="0" w:color="auto"/>
              <w:right w:val="dotted" w:sz="4" w:space="0" w:color="auto"/>
            </w:tcBorders>
            <w:noWrap/>
            <w:vAlign w:val="center"/>
          </w:tcPr>
          <w:p w:rsidR="00E74AAA" w:rsidRPr="00743018" w:rsidRDefault="00E74AAA" w:rsidP="00E74AAA">
            <w:pPr>
              <w:jc w:val="both"/>
              <w:rPr>
                <w:rFonts w:ascii="Arial" w:hAnsi="Arial" w:cs="Arial"/>
                <w:sz w:val="20"/>
                <w:szCs w:val="21"/>
              </w:rPr>
            </w:pPr>
            <w:r w:rsidRPr="00743018">
              <w:rPr>
                <w:rFonts w:ascii="Arial" w:hAnsi="Arial" w:cs="Arial"/>
                <w:sz w:val="20"/>
                <w:szCs w:val="21"/>
              </w:rPr>
              <w:t>Product regulation (please specify which type(s) of product)</w:t>
            </w:r>
          </w:p>
        </w:tc>
        <w:tc>
          <w:tcPr>
            <w:tcW w:w="623" w:type="pct"/>
            <w:tcBorders>
              <w:top w:val="dotted" w:sz="4" w:space="0" w:color="auto"/>
              <w:left w:val="dotted" w:sz="4" w:space="0" w:color="auto"/>
              <w:bottom w:val="dotted" w:sz="4" w:space="0" w:color="auto"/>
              <w:right w:val="dotted" w:sz="4" w:space="0" w:color="auto"/>
            </w:tcBorders>
            <w:noWrap/>
            <w:vAlign w:val="center"/>
          </w:tcPr>
          <w:p w:rsidR="00E74AAA" w:rsidRPr="00743018" w:rsidRDefault="00E74AAA" w:rsidP="00E74AAA">
            <w:pPr>
              <w:jc w:val="center"/>
              <w:rPr>
                <w:rFonts w:ascii="Batang" w:hAnsi="Batang" w:cs="Arial"/>
                <w:sz w:val="20"/>
                <w:szCs w:val="21"/>
              </w:rPr>
            </w:pPr>
            <w:r w:rsidRPr="00743018">
              <w:rPr>
                <w:rFonts w:ascii="Batang" w:hAnsi="Batang" w:cs="Arial" w:hint="eastAsia"/>
                <w:sz w:val="20"/>
                <w:szCs w:val="21"/>
              </w:rPr>
              <w:t>□</w:t>
            </w:r>
          </w:p>
        </w:tc>
      </w:tr>
      <w:tr w:rsidR="00743018" w:rsidRPr="00743018" w:rsidTr="00706F78">
        <w:trPr>
          <w:trHeight w:val="397"/>
          <w:jc w:val="center"/>
        </w:trPr>
        <w:tc>
          <w:tcPr>
            <w:tcW w:w="231" w:type="pct"/>
            <w:tcBorders>
              <w:top w:val="dotted" w:sz="4" w:space="0" w:color="auto"/>
              <w:left w:val="dotted" w:sz="4" w:space="0" w:color="auto"/>
              <w:bottom w:val="dotted" w:sz="4" w:space="0" w:color="auto"/>
              <w:right w:val="dotted" w:sz="4" w:space="0" w:color="auto"/>
            </w:tcBorders>
            <w:vAlign w:val="center"/>
          </w:tcPr>
          <w:p w:rsidR="00706F78" w:rsidRPr="00743018" w:rsidRDefault="00706F78" w:rsidP="0079398F">
            <w:pPr>
              <w:rPr>
                <w:rFonts w:ascii="Arial" w:hAnsi="Arial" w:cs="Arial"/>
                <w:sz w:val="20"/>
                <w:szCs w:val="21"/>
              </w:rPr>
            </w:pPr>
            <w:r w:rsidRPr="00743018">
              <w:rPr>
                <w:rFonts w:ascii="Arial" w:hAnsi="Arial" w:cs="Arial"/>
                <w:sz w:val="20"/>
                <w:szCs w:val="21"/>
              </w:rPr>
              <w:t>ii.</w:t>
            </w:r>
          </w:p>
        </w:tc>
        <w:tc>
          <w:tcPr>
            <w:tcW w:w="4146" w:type="pct"/>
            <w:tcBorders>
              <w:top w:val="dotted" w:sz="4" w:space="0" w:color="auto"/>
              <w:left w:val="dotted" w:sz="4" w:space="0" w:color="auto"/>
              <w:bottom w:val="dotted" w:sz="4" w:space="0" w:color="auto"/>
              <w:right w:val="dotted" w:sz="4" w:space="0" w:color="auto"/>
            </w:tcBorders>
            <w:noWrap/>
            <w:vAlign w:val="center"/>
          </w:tcPr>
          <w:p w:rsidR="00706F78" w:rsidRPr="00743018" w:rsidRDefault="00706F78" w:rsidP="00706F78">
            <w:pPr>
              <w:jc w:val="both"/>
              <w:rPr>
                <w:rFonts w:ascii="Arial" w:hAnsi="Arial" w:cs="Arial"/>
                <w:sz w:val="20"/>
                <w:szCs w:val="21"/>
              </w:rPr>
            </w:pPr>
            <w:r w:rsidRPr="00743018">
              <w:rPr>
                <w:rFonts w:ascii="Arial" w:hAnsi="Arial" w:cs="Arial"/>
                <w:sz w:val="20"/>
                <w:szCs w:val="21"/>
              </w:rPr>
              <w:t>Conduct of intermediaries (please specify which type of intermediary and conduct)</w:t>
            </w:r>
          </w:p>
        </w:tc>
        <w:tc>
          <w:tcPr>
            <w:tcW w:w="623" w:type="pct"/>
            <w:tcBorders>
              <w:top w:val="dotted" w:sz="4" w:space="0" w:color="auto"/>
              <w:left w:val="dotted" w:sz="4" w:space="0" w:color="auto"/>
              <w:bottom w:val="dotted" w:sz="4" w:space="0" w:color="auto"/>
              <w:right w:val="dotted" w:sz="4" w:space="0" w:color="auto"/>
            </w:tcBorders>
            <w:noWrap/>
            <w:vAlign w:val="center"/>
          </w:tcPr>
          <w:p w:rsidR="00706F78" w:rsidRPr="00743018" w:rsidRDefault="00706F78" w:rsidP="0079398F">
            <w:pPr>
              <w:jc w:val="center"/>
              <w:rPr>
                <w:rFonts w:ascii="Batang" w:hAnsi="Batang" w:cs="Arial"/>
                <w:sz w:val="20"/>
                <w:szCs w:val="21"/>
              </w:rPr>
            </w:pPr>
            <w:r w:rsidRPr="00743018">
              <w:rPr>
                <w:rFonts w:ascii="Batang" w:hAnsi="Batang" w:cs="Arial" w:hint="eastAsia"/>
                <w:sz w:val="20"/>
                <w:szCs w:val="21"/>
              </w:rPr>
              <w:t>□</w:t>
            </w:r>
          </w:p>
        </w:tc>
      </w:tr>
      <w:tr w:rsidR="00743018" w:rsidRPr="00743018" w:rsidTr="00706F78">
        <w:trPr>
          <w:trHeight w:val="397"/>
          <w:jc w:val="center"/>
        </w:trPr>
        <w:tc>
          <w:tcPr>
            <w:tcW w:w="231" w:type="pct"/>
            <w:tcBorders>
              <w:top w:val="dotted" w:sz="4" w:space="0" w:color="auto"/>
              <w:left w:val="dotted" w:sz="4" w:space="0" w:color="auto"/>
              <w:bottom w:val="dotted" w:sz="4" w:space="0" w:color="auto"/>
              <w:right w:val="dotted" w:sz="4" w:space="0" w:color="auto"/>
            </w:tcBorders>
            <w:vAlign w:val="center"/>
          </w:tcPr>
          <w:p w:rsidR="00706F78" w:rsidRPr="00743018" w:rsidRDefault="00706F78" w:rsidP="00706F78">
            <w:pPr>
              <w:rPr>
                <w:rFonts w:ascii="Arial" w:hAnsi="Arial" w:cs="Arial"/>
                <w:sz w:val="20"/>
                <w:szCs w:val="21"/>
              </w:rPr>
            </w:pPr>
            <w:r w:rsidRPr="00743018">
              <w:rPr>
                <w:rFonts w:ascii="Arial" w:hAnsi="Arial" w:cs="Arial"/>
                <w:sz w:val="20"/>
                <w:szCs w:val="21"/>
              </w:rPr>
              <w:t>iii.</w:t>
            </w:r>
          </w:p>
        </w:tc>
        <w:tc>
          <w:tcPr>
            <w:tcW w:w="4146" w:type="pct"/>
            <w:tcBorders>
              <w:top w:val="dotted" w:sz="4" w:space="0" w:color="auto"/>
              <w:left w:val="dotted" w:sz="4" w:space="0" w:color="auto"/>
              <w:bottom w:val="dotted" w:sz="4" w:space="0" w:color="auto"/>
              <w:right w:val="dotted" w:sz="4" w:space="0" w:color="auto"/>
            </w:tcBorders>
            <w:noWrap/>
            <w:vAlign w:val="center"/>
          </w:tcPr>
          <w:p w:rsidR="00706F78" w:rsidRPr="00743018" w:rsidRDefault="00706F78" w:rsidP="00706F78">
            <w:pPr>
              <w:jc w:val="both"/>
              <w:rPr>
                <w:rFonts w:ascii="Arial" w:hAnsi="Arial" w:cs="Arial"/>
                <w:sz w:val="20"/>
                <w:szCs w:val="21"/>
              </w:rPr>
            </w:pPr>
            <w:r w:rsidRPr="00743018">
              <w:rPr>
                <w:rFonts w:ascii="Arial" w:hAnsi="Arial" w:cs="Arial"/>
                <w:sz w:val="20"/>
                <w:szCs w:val="21"/>
              </w:rPr>
              <w:t>Redress mechanisms</w:t>
            </w:r>
          </w:p>
        </w:tc>
        <w:tc>
          <w:tcPr>
            <w:tcW w:w="623" w:type="pct"/>
            <w:tcBorders>
              <w:top w:val="dotted" w:sz="4" w:space="0" w:color="auto"/>
              <w:left w:val="dotted" w:sz="4" w:space="0" w:color="auto"/>
              <w:bottom w:val="dotted" w:sz="4" w:space="0" w:color="auto"/>
              <w:right w:val="dotted" w:sz="4" w:space="0" w:color="auto"/>
            </w:tcBorders>
            <w:noWrap/>
            <w:vAlign w:val="center"/>
          </w:tcPr>
          <w:p w:rsidR="00706F78" w:rsidRPr="00743018" w:rsidRDefault="00706F78" w:rsidP="00706F78">
            <w:pPr>
              <w:jc w:val="center"/>
              <w:rPr>
                <w:rFonts w:ascii="Batang" w:hAnsi="Batang" w:cs="Arial"/>
                <w:sz w:val="20"/>
                <w:szCs w:val="21"/>
              </w:rPr>
            </w:pPr>
            <w:r w:rsidRPr="00743018">
              <w:rPr>
                <w:rFonts w:ascii="Batang" w:hAnsi="Batang" w:cs="Arial" w:hint="eastAsia"/>
                <w:sz w:val="20"/>
                <w:szCs w:val="21"/>
              </w:rPr>
              <w:t>□</w:t>
            </w:r>
          </w:p>
        </w:tc>
      </w:tr>
      <w:tr w:rsidR="00743018" w:rsidRPr="00743018" w:rsidTr="00706F78">
        <w:trPr>
          <w:trHeight w:val="397"/>
          <w:jc w:val="center"/>
        </w:trPr>
        <w:tc>
          <w:tcPr>
            <w:tcW w:w="231" w:type="pct"/>
            <w:tcBorders>
              <w:top w:val="dotted" w:sz="4" w:space="0" w:color="auto"/>
              <w:left w:val="dotted" w:sz="4" w:space="0" w:color="auto"/>
              <w:bottom w:val="dotted" w:sz="4" w:space="0" w:color="auto"/>
              <w:right w:val="dotted" w:sz="4" w:space="0" w:color="auto"/>
            </w:tcBorders>
            <w:vAlign w:val="center"/>
          </w:tcPr>
          <w:p w:rsidR="00706F78" w:rsidRPr="00743018" w:rsidRDefault="00706F78" w:rsidP="00706F78">
            <w:pPr>
              <w:rPr>
                <w:rFonts w:ascii="Arial" w:hAnsi="Arial" w:cs="Arial"/>
                <w:sz w:val="20"/>
                <w:szCs w:val="21"/>
              </w:rPr>
            </w:pPr>
            <w:r w:rsidRPr="00743018">
              <w:rPr>
                <w:rFonts w:ascii="Arial" w:hAnsi="Arial" w:cs="Arial"/>
                <w:sz w:val="20"/>
                <w:szCs w:val="21"/>
              </w:rPr>
              <w:t>iv.</w:t>
            </w:r>
          </w:p>
        </w:tc>
        <w:tc>
          <w:tcPr>
            <w:tcW w:w="4146" w:type="pct"/>
            <w:tcBorders>
              <w:top w:val="dotted" w:sz="4" w:space="0" w:color="auto"/>
              <w:left w:val="dotted" w:sz="4" w:space="0" w:color="auto"/>
              <w:bottom w:val="dotted" w:sz="4" w:space="0" w:color="auto"/>
              <w:right w:val="dotted" w:sz="4" w:space="0" w:color="auto"/>
            </w:tcBorders>
            <w:noWrap/>
            <w:vAlign w:val="center"/>
          </w:tcPr>
          <w:p w:rsidR="00706F78" w:rsidRPr="00743018" w:rsidRDefault="00706F78" w:rsidP="00706F78">
            <w:pPr>
              <w:jc w:val="both"/>
              <w:rPr>
                <w:rFonts w:ascii="Arial" w:hAnsi="Arial" w:cs="Arial"/>
                <w:sz w:val="20"/>
                <w:szCs w:val="21"/>
              </w:rPr>
            </w:pPr>
            <w:r w:rsidRPr="00743018">
              <w:rPr>
                <w:rFonts w:ascii="Arial" w:hAnsi="Arial" w:cs="Arial"/>
                <w:sz w:val="20"/>
                <w:szCs w:val="21"/>
              </w:rPr>
              <w:t>Investor education</w:t>
            </w:r>
          </w:p>
        </w:tc>
        <w:tc>
          <w:tcPr>
            <w:tcW w:w="623" w:type="pct"/>
            <w:tcBorders>
              <w:top w:val="dotted" w:sz="4" w:space="0" w:color="auto"/>
              <w:left w:val="dotted" w:sz="4" w:space="0" w:color="auto"/>
              <w:bottom w:val="dotted" w:sz="4" w:space="0" w:color="auto"/>
              <w:right w:val="dotted" w:sz="4" w:space="0" w:color="auto"/>
            </w:tcBorders>
            <w:noWrap/>
            <w:vAlign w:val="center"/>
          </w:tcPr>
          <w:p w:rsidR="00706F78" w:rsidRPr="00743018" w:rsidRDefault="00706F78" w:rsidP="00706F78">
            <w:pPr>
              <w:jc w:val="center"/>
              <w:rPr>
                <w:rFonts w:ascii="Batang" w:hAnsi="Batang" w:cs="Arial"/>
                <w:sz w:val="20"/>
                <w:szCs w:val="21"/>
              </w:rPr>
            </w:pPr>
            <w:r w:rsidRPr="00743018">
              <w:rPr>
                <w:rFonts w:ascii="Batang" w:hAnsi="Batang" w:cs="Arial" w:hint="eastAsia"/>
                <w:sz w:val="20"/>
                <w:szCs w:val="21"/>
              </w:rPr>
              <w:t>□</w:t>
            </w:r>
          </w:p>
        </w:tc>
      </w:tr>
      <w:tr w:rsidR="00706F78" w:rsidRPr="00743018" w:rsidTr="00706F78">
        <w:trPr>
          <w:trHeight w:val="397"/>
          <w:jc w:val="center"/>
        </w:trPr>
        <w:tc>
          <w:tcPr>
            <w:tcW w:w="231" w:type="pct"/>
            <w:tcBorders>
              <w:top w:val="dotted" w:sz="4" w:space="0" w:color="auto"/>
              <w:left w:val="dotted" w:sz="4" w:space="0" w:color="auto"/>
              <w:bottom w:val="dotted" w:sz="4" w:space="0" w:color="auto"/>
              <w:right w:val="dotted" w:sz="4" w:space="0" w:color="auto"/>
            </w:tcBorders>
            <w:vAlign w:val="center"/>
          </w:tcPr>
          <w:p w:rsidR="00706F78" w:rsidRPr="00743018" w:rsidRDefault="00706F78" w:rsidP="00706F78">
            <w:pPr>
              <w:rPr>
                <w:rFonts w:ascii="Arial" w:hAnsi="Arial" w:cs="Arial"/>
                <w:sz w:val="20"/>
                <w:szCs w:val="21"/>
              </w:rPr>
            </w:pPr>
            <w:r w:rsidRPr="00743018">
              <w:rPr>
                <w:rFonts w:ascii="Arial" w:hAnsi="Arial" w:cs="Arial"/>
                <w:sz w:val="20"/>
                <w:szCs w:val="21"/>
              </w:rPr>
              <w:t>v.</w:t>
            </w:r>
          </w:p>
        </w:tc>
        <w:tc>
          <w:tcPr>
            <w:tcW w:w="4146" w:type="pct"/>
            <w:tcBorders>
              <w:top w:val="dotted" w:sz="4" w:space="0" w:color="auto"/>
              <w:left w:val="dotted" w:sz="4" w:space="0" w:color="auto"/>
              <w:bottom w:val="dotted" w:sz="4" w:space="0" w:color="auto"/>
              <w:right w:val="dotted" w:sz="4" w:space="0" w:color="auto"/>
            </w:tcBorders>
            <w:noWrap/>
            <w:vAlign w:val="center"/>
          </w:tcPr>
          <w:p w:rsidR="00706F78" w:rsidRPr="00743018" w:rsidRDefault="00706F78" w:rsidP="00706F78">
            <w:pPr>
              <w:jc w:val="both"/>
              <w:rPr>
                <w:rFonts w:ascii="Arial" w:hAnsi="Arial" w:cs="Arial"/>
                <w:sz w:val="20"/>
                <w:szCs w:val="21"/>
              </w:rPr>
            </w:pPr>
            <w:r w:rsidRPr="00743018">
              <w:rPr>
                <w:rFonts w:ascii="Arial" w:hAnsi="Arial" w:cs="Arial"/>
                <w:sz w:val="20"/>
                <w:szCs w:val="21"/>
              </w:rPr>
              <w:t>Others, please specify below</w:t>
            </w:r>
          </w:p>
        </w:tc>
        <w:tc>
          <w:tcPr>
            <w:tcW w:w="623" w:type="pct"/>
            <w:tcBorders>
              <w:top w:val="dotted" w:sz="4" w:space="0" w:color="auto"/>
              <w:left w:val="dotted" w:sz="4" w:space="0" w:color="auto"/>
              <w:bottom w:val="dotted" w:sz="4" w:space="0" w:color="auto"/>
              <w:right w:val="dotted" w:sz="4" w:space="0" w:color="auto"/>
            </w:tcBorders>
            <w:noWrap/>
            <w:vAlign w:val="center"/>
          </w:tcPr>
          <w:p w:rsidR="00706F78" w:rsidRPr="00743018" w:rsidRDefault="00706F78" w:rsidP="00706F78">
            <w:pPr>
              <w:jc w:val="center"/>
              <w:rPr>
                <w:rFonts w:ascii="Batang" w:hAnsi="Batang" w:cs="Arial"/>
                <w:sz w:val="20"/>
                <w:szCs w:val="21"/>
              </w:rPr>
            </w:pPr>
            <w:r w:rsidRPr="00743018">
              <w:rPr>
                <w:rFonts w:ascii="Batang" w:hAnsi="Batang" w:cs="Arial" w:hint="eastAsia"/>
                <w:sz w:val="20"/>
                <w:szCs w:val="21"/>
              </w:rPr>
              <w:t>□</w:t>
            </w:r>
          </w:p>
        </w:tc>
      </w:tr>
    </w:tbl>
    <w:p w:rsidR="00706F78" w:rsidRPr="00743018" w:rsidRDefault="00706F78" w:rsidP="00706F78">
      <w:pPr>
        <w:spacing w:after="160"/>
        <w:jc w:val="both"/>
        <w:rPr>
          <w:rFonts w:ascii="Arial" w:eastAsia="Calibri" w:hAnsi="Arial" w:cs="Arial"/>
          <w:sz w:val="21"/>
          <w:szCs w:val="21"/>
        </w:rPr>
      </w:pPr>
    </w:p>
    <w:tbl>
      <w:tblPr>
        <w:tblW w:w="5000" w:type="pct"/>
        <w:tblInd w:w="-5" w:type="dxa"/>
        <w:tblBorders>
          <w:top w:val="dotted" w:sz="4" w:space="0" w:color="auto"/>
          <w:left w:val="dotted" w:sz="4" w:space="0" w:color="auto"/>
          <w:bottom w:val="dotted" w:sz="4" w:space="0" w:color="auto"/>
          <w:right w:val="dotted" w:sz="4" w:space="0" w:color="auto"/>
        </w:tblBorders>
        <w:tblLook w:val="04A0" w:firstRow="1" w:lastRow="0" w:firstColumn="1" w:lastColumn="0" w:noHBand="0" w:noVBand="1"/>
      </w:tblPr>
      <w:tblGrid>
        <w:gridCol w:w="9016"/>
      </w:tblGrid>
      <w:tr w:rsidR="00743018" w:rsidRPr="00743018" w:rsidTr="00476F4B">
        <w:trPr>
          <w:trHeight w:val="2258"/>
        </w:trPr>
        <w:tc>
          <w:tcPr>
            <w:tcW w:w="5000" w:type="pct"/>
            <w:shd w:val="clear" w:color="000000" w:fill="FFFFFF"/>
            <w:noWrap/>
            <w:hideMark/>
          </w:tcPr>
          <w:p w:rsidR="005C59B3" w:rsidRPr="00743018" w:rsidRDefault="005C59B3" w:rsidP="005C3EBD">
            <w:pPr>
              <w:rPr>
                <w:rFonts w:ascii="Arial" w:hAnsi="Arial" w:cs="Arial"/>
                <w:sz w:val="20"/>
                <w:szCs w:val="21"/>
              </w:rPr>
            </w:pPr>
            <w:r w:rsidRPr="00743018">
              <w:rPr>
                <w:rFonts w:ascii="Calibri" w:eastAsia="Times New Roman" w:hAnsi="Calibri" w:cs="Calibri"/>
                <w:sz w:val="20"/>
                <w:lang w:eastAsia="en-GB"/>
              </w:rPr>
              <w:t> </w:t>
            </w:r>
            <w:r w:rsidRPr="00743018">
              <w:rPr>
                <w:rFonts w:ascii="Arial" w:hAnsi="Arial" w:cs="Arial"/>
                <w:sz w:val="20"/>
                <w:szCs w:val="21"/>
              </w:rPr>
              <w:t>Please describe here</w:t>
            </w:r>
          </w:p>
          <w:p w:rsidR="005C59B3" w:rsidRPr="00743018" w:rsidRDefault="005C59B3" w:rsidP="005C3EBD">
            <w:pPr>
              <w:rPr>
                <w:rFonts w:ascii="Calibri" w:eastAsia="Times New Roman" w:hAnsi="Calibri" w:cs="Calibri"/>
                <w:sz w:val="20"/>
                <w:lang w:eastAsia="en-GB"/>
              </w:rPr>
            </w:pPr>
          </w:p>
        </w:tc>
      </w:tr>
    </w:tbl>
    <w:p w:rsidR="00476F4B" w:rsidRPr="00743018" w:rsidRDefault="00476F4B" w:rsidP="00394F37">
      <w:pPr>
        <w:spacing w:after="240"/>
        <w:jc w:val="both"/>
        <w:rPr>
          <w:rFonts w:ascii="Arial" w:eastAsia="Calibri" w:hAnsi="Arial" w:cs="Arial"/>
          <w:b/>
          <w:sz w:val="20"/>
          <w:szCs w:val="21"/>
        </w:rPr>
      </w:pPr>
    </w:p>
    <w:p w:rsidR="005C59B3" w:rsidRPr="00743018" w:rsidRDefault="005C59B3" w:rsidP="00743018">
      <w:pPr>
        <w:spacing w:after="240"/>
        <w:ind w:left="720"/>
        <w:jc w:val="both"/>
        <w:rPr>
          <w:rFonts w:ascii="Arial" w:eastAsia="Calibri" w:hAnsi="Arial" w:cs="Arial"/>
          <w:sz w:val="20"/>
          <w:szCs w:val="21"/>
        </w:rPr>
      </w:pPr>
      <w:r w:rsidRPr="00743018">
        <w:rPr>
          <w:rFonts w:ascii="Arial" w:eastAsia="Calibri" w:hAnsi="Arial" w:cs="Arial"/>
          <w:b/>
          <w:sz w:val="20"/>
          <w:szCs w:val="21"/>
        </w:rPr>
        <w:lastRenderedPageBreak/>
        <w:t>Which of the</w:t>
      </w:r>
      <w:r w:rsidR="00706F78" w:rsidRPr="00743018">
        <w:rPr>
          <w:rFonts w:ascii="Arial" w:eastAsia="Calibri" w:hAnsi="Arial" w:cs="Arial"/>
          <w:b/>
          <w:sz w:val="20"/>
          <w:szCs w:val="21"/>
        </w:rPr>
        <w:t xml:space="preserve"> above </w:t>
      </w:r>
      <w:r w:rsidRPr="00743018">
        <w:rPr>
          <w:rFonts w:ascii="Arial" w:eastAsia="Calibri" w:hAnsi="Arial" w:cs="Arial"/>
          <w:b/>
          <w:sz w:val="20"/>
          <w:szCs w:val="21"/>
        </w:rPr>
        <w:t>issues might usefully be addressed by a Standard on Investor Protection</w:t>
      </w:r>
      <w:r w:rsidRPr="00743018">
        <w:rPr>
          <w:rFonts w:ascii="Arial" w:eastAsia="Calibri" w:hAnsi="Arial" w:cs="Arial"/>
          <w:b/>
          <w:sz w:val="18"/>
          <w:szCs w:val="21"/>
        </w:rPr>
        <w:t xml:space="preserve">? </w:t>
      </w:r>
      <w:r w:rsidR="00912321" w:rsidRPr="00743018">
        <w:rPr>
          <w:rFonts w:ascii="Arial" w:eastAsia="Calibri" w:hAnsi="Arial" w:cs="Arial"/>
          <w:b/>
          <w:sz w:val="20"/>
          <w:szCs w:val="21"/>
          <w:lang w:val="en-MY"/>
        </w:rPr>
        <w:t>Where you feel that existing provisions and mechanisms are insufficient to address issues specific to the Islamic capital market, please provide suggestions of how these can be improved to enhance investor protection</w:t>
      </w:r>
    </w:p>
    <w:tbl>
      <w:tblPr>
        <w:tblW w:w="5000" w:type="pct"/>
        <w:tblInd w:w="-5" w:type="dxa"/>
        <w:tblBorders>
          <w:top w:val="dotted" w:sz="4" w:space="0" w:color="auto"/>
          <w:left w:val="dotted" w:sz="4" w:space="0" w:color="auto"/>
          <w:bottom w:val="dotted" w:sz="4" w:space="0" w:color="auto"/>
          <w:right w:val="dotted" w:sz="4" w:space="0" w:color="auto"/>
        </w:tblBorders>
        <w:tblLook w:val="04A0" w:firstRow="1" w:lastRow="0" w:firstColumn="1" w:lastColumn="0" w:noHBand="0" w:noVBand="1"/>
      </w:tblPr>
      <w:tblGrid>
        <w:gridCol w:w="9016"/>
      </w:tblGrid>
      <w:tr w:rsidR="00743018" w:rsidRPr="00743018" w:rsidTr="005C3EBD">
        <w:trPr>
          <w:trHeight w:val="3432"/>
        </w:trPr>
        <w:tc>
          <w:tcPr>
            <w:tcW w:w="5000" w:type="pct"/>
            <w:shd w:val="clear" w:color="000000" w:fill="FFFFFF"/>
            <w:noWrap/>
            <w:hideMark/>
          </w:tcPr>
          <w:p w:rsidR="005C59B3" w:rsidRPr="00743018" w:rsidRDefault="005C59B3" w:rsidP="005C3EBD">
            <w:pPr>
              <w:rPr>
                <w:rFonts w:ascii="Arial" w:hAnsi="Arial" w:cs="Arial"/>
                <w:sz w:val="20"/>
                <w:szCs w:val="21"/>
              </w:rPr>
            </w:pPr>
            <w:r w:rsidRPr="00743018">
              <w:rPr>
                <w:rFonts w:ascii="Calibri" w:eastAsia="Times New Roman" w:hAnsi="Calibri" w:cs="Calibri"/>
                <w:sz w:val="20"/>
                <w:lang w:eastAsia="en-GB"/>
              </w:rPr>
              <w:t> </w:t>
            </w:r>
            <w:r w:rsidRPr="00743018">
              <w:rPr>
                <w:rFonts w:ascii="Arial" w:hAnsi="Arial" w:cs="Arial"/>
                <w:sz w:val="20"/>
                <w:szCs w:val="21"/>
              </w:rPr>
              <w:t>Please describe here</w:t>
            </w:r>
          </w:p>
          <w:p w:rsidR="005C59B3" w:rsidRPr="00743018" w:rsidRDefault="005C59B3" w:rsidP="005C3EBD">
            <w:pPr>
              <w:rPr>
                <w:rFonts w:ascii="Calibri" w:eastAsia="Times New Roman" w:hAnsi="Calibri" w:cs="Calibri"/>
                <w:sz w:val="20"/>
                <w:lang w:eastAsia="en-GB"/>
              </w:rPr>
            </w:pPr>
          </w:p>
        </w:tc>
      </w:tr>
    </w:tbl>
    <w:p w:rsidR="005C59B3" w:rsidRPr="00743018" w:rsidRDefault="005C59B3" w:rsidP="005C59B3">
      <w:pPr>
        <w:jc w:val="right"/>
        <w:rPr>
          <w:rFonts w:ascii="Arial" w:eastAsia="Calibri" w:hAnsi="Arial" w:cs="Arial"/>
          <w:sz w:val="21"/>
          <w:szCs w:val="21"/>
        </w:rPr>
      </w:pPr>
    </w:p>
    <w:p w:rsidR="005C59B3" w:rsidRPr="00743018" w:rsidRDefault="005C59B3" w:rsidP="005C59B3">
      <w:pPr>
        <w:jc w:val="right"/>
        <w:rPr>
          <w:rFonts w:ascii="Arial" w:eastAsia="Calibri" w:hAnsi="Arial" w:cs="Arial"/>
          <w:sz w:val="21"/>
          <w:szCs w:val="21"/>
        </w:rPr>
      </w:pPr>
    </w:p>
    <w:p w:rsidR="005C59B3" w:rsidRPr="00743018" w:rsidRDefault="005C59B3" w:rsidP="005C59B3">
      <w:pPr>
        <w:jc w:val="right"/>
        <w:rPr>
          <w:rFonts w:ascii="Arial" w:eastAsia="Calibri" w:hAnsi="Arial" w:cs="Arial"/>
          <w:sz w:val="21"/>
          <w:szCs w:val="21"/>
        </w:rPr>
      </w:pPr>
    </w:p>
    <w:p w:rsidR="005C59B3" w:rsidRPr="00743018" w:rsidRDefault="005C59B3" w:rsidP="005C59B3">
      <w:pPr>
        <w:jc w:val="right"/>
        <w:rPr>
          <w:rFonts w:ascii="Arial" w:eastAsia="Calibri" w:hAnsi="Arial" w:cs="Arial"/>
          <w:sz w:val="21"/>
          <w:szCs w:val="21"/>
        </w:rPr>
      </w:pPr>
    </w:p>
    <w:p w:rsidR="005C59B3" w:rsidRPr="00743018" w:rsidRDefault="005C59B3" w:rsidP="005C59B3">
      <w:pPr>
        <w:numPr>
          <w:ilvl w:val="0"/>
          <w:numId w:val="24"/>
        </w:numPr>
        <w:spacing w:after="160"/>
        <w:ind w:left="709" w:hanging="709"/>
        <w:jc w:val="both"/>
        <w:rPr>
          <w:rFonts w:ascii="Arial" w:eastAsia="Calibri" w:hAnsi="Arial" w:cs="Arial"/>
          <w:sz w:val="21"/>
          <w:szCs w:val="21"/>
        </w:rPr>
      </w:pPr>
      <w:r w:rsidRPr="00743018">
        <w:rPr>
          <w:rFonts w:ascii="Arial" w:eastAsia="Calibri" w:hAnsi="Arial" w:cs="Arial"/>
          <w:sz w:val="21"/>
          <w:szCs w:val="21"/>
        </w:rPr>
        <w:tab/>
      </w:r>
      <w:r w:rsidRPr="00743018">
        <w:rPr>
          <w:rFonts w:ascii="Arial" w:eastAsia="Calibri" w:hAnsi="Arial" w:cs="Arial"/>
          <w:b/>
          <w:sz w:val="20"/>
          <w:szCs w:val="21"/>
        </w:rPr>
        <w:t>Do you have examples to offer of good industry practice in ensuring investor protection in Islamic capital markets</w:t>
      </w:r>
      <w:r w:rsidR="0082388D" w:rsidRPr="00743018">
        <w:rPr>
          <w:rFonts w:ascii="Arial" w:eastAsia="Calibri" w:hAnsi="Arial" w:cs="Arial"/>
          <w:b/>
          <w:sz w:val="20"/>
          <w:szCs w:val="21"/>
        </w:rPr>
        <w:t>, especially any measures your own institution has taken to protect investors</w:t>
      </w:r>
      <w:r w:rsidRPr="00743018">
        <w:rPr>
          <w:rFonts w:ascii="Arial" w:eastAsia="Calibri" w:hAnsi="Arial" w:cs="Arial"/>
          <w:b/>
          <w:sz w:val="20"/>
          <w:szCs w:val="21"/>
        </w:rPr>
        <w:t xml:space="preserve">? </w:t>
      </w:r>
    </w:p>
    <w:tbl>
      <w:tblPr>
        <w:tblW w:w="5000" w:type="pct"/>
        <w:tblInd w:w="-5" w:type="dxa"/>
        <w:tblBorders>
          <w:top w:val="dotted" w:sz="4" w:space="0" w:color="auto"/>
          <w:left w:val="dotted" w:sz="4" w:space="0" w:color="auto"/>
          <w:bottom w:val="dotted" w:sz="4" w:space="0" w:color="auto"/>
          <w:right w:val="dotted" w:sz="4" w:space="0" w:color="auto"/>
        </w:tblBorders>
        <w:tblLook w:val="04A0" w:firstRow="1" w:lastRow="0" w:firstColumn="1" w:lastColumn="0" w:noHBand="0" w:noVBand="1"/>
      </w:tblPr>
      <w:tblGrid>
        <w:gridCol w:w="9016"/>
      </w:tblGrid>
      <w:tr w:rsidR="00743018" w:rsidRPr="00743018" w:rsidTr="005C3EBD">
        <w:trPr>
          <w:trHeight w:val="3187"/>
        </w:trPr>
        <w:tc>
          <w:tcPr>
            <w:tcW w:w="5000" w:type="pct"/>
            <w:shd w:val="clear" w:color="000000" w:fill="FFFFFF"/>
            <w:noWrap/>
            <w:hideMark/>
          </w:tcPr>
          <w:p w:rsidR="005C59B3" w:rsidRPr="00743018" w:rsidRDefault="005C59B3" w:rsidP="005C3EBD">
            <w:pPr>
              <w:rPr>
                <w:rFonts w:ascii="Arial" w:hAnsi="Arial" w:cs="Arial"/>
                <w:sz w:val="20"/>
                <w:szCs w:val="21"/>
              </w:rPr>
            </w:pPr>
            <w:r w:rsidRPr="00743018">
              <w:rPr>
                <w:rFonts w:ascii="Calibri" w:eastAsia="Times New Roman" w:hAnsi="Calibri" w:cs="Calibri"/>
                <w:sz w:val="20"/>
                <w:lang w:eastAsia="en-GB"/>
              </w:rPr>
              <w:t> </w:t>
            </w:r>
            <w:r w:rsidRPr="00743018">
              <w:rPr>
                <w:rFonts w:ascii="Arial" w:hAnsi="Arial" w:cs="Arial"/>
                <w:sz w:val="20"/>
                <w:szCs w:val="21"/>
              </w:rPr>
              <w:t>Please describe here</w:t>
            </w:r>
          </w:p>
          <w:p w:rsidR="005C59B3" w:rsidRPr="00743018" w:rsidRDefault="005C59B3" w:rsidP="005C3EBD">
            <w:pPr>
              <w:rPr>
                <w:rFonts w:ascii="Calibri" w:eastAsia="Times New Roman" w:hAnsi="Calibri" w:cs="Calibri"/>
                <w:sz w:val="20"/>
                <w:lang w:eastAsia="en-GB"/>
              </w:rPr>
            </w:pPr>
          </w:p>
        </w:tc>
      </w:tr>
    </w:tbl>
    <w:p w:rsidR="005C59B3" w:rsidRPr="00743018" w:rsidRDefault="005C59B3" w:rsidP="005C59B3">
      <w:pPr>
        <w:rPr>
          <w:rFonts w:ascii="Arial" w:eastAsia="Calibri" w:hAnsi="Arial" w:cs="Arial"/>
          <w:sz w:val="21"/>
          <w:szCs w:val="21"/>
        </w:rPr>
      </w:pPr>
    </w:p>
    <w:p w:rsidR="005C59B3" w:rsidRPr="00743018" w:rsidRDefault="005C59B3" w:rsidP="005C59B3">
      <w:pPr>
        <w:rPr>
          <w:rFonts w:ascii="Arial" w:eastAsia="Calibri" w:hAnsi="Arial" w:cs="Arial"/>
          <w:sz w:val="21"/>
          <w:szCs w:val="21"/>
        </w:rPr>
      </w:pPr>
    </w:p>
    <w:p w:rsidR="005C59B3" w:rsidRPr="00743018" w:rsidRDefault="005C59B3" w:rsidP="005C59B3">
      <w:pPr>
        <w:rPr>
          <w:rFonts w:ascii="Arial" w:eastAsia="Calibri" w:hAnsi="Arial" w:cs="Arial"/>
          <w:sz w:val="21"/>
          <w:szCs w:val="21"/>
        </w:rPr>
      </w:pPr>
    </w:p>
    <w:p w:rsidR="005C59B3" w:rsidRPr="00743018" w:rsidRDefault="005C59B3" w:rsidP="005C59B3">
      <w:pPr>
        <w:rPr>
          <w:rFonts w:ascii="Arial" w:eastAsia="Calibri" w:hAnsi="Arial" w:cs="Arial"/>
          <w:sz w:val="21"/>
          <w:szCs w:val="21"/>
        </w:rPr>
      </w:pPr>
    </w:p>
    <w:p w:rsidR="005C59B3" w:rsidRPr="00743018" w:rsidRDefault="005C59B3" w:rsidP="005C59B3">
      <w:pPr>
        <w:rPr>
          <w:rFonts w:ascii="Arial" w:eastAsia="Calibri" w:hAnsi="Arial" w:cs="Arial"/>
          <w:sz w:val="21"/>
          <w:szCs w:val="21"/>
        </w:rPr>
      </w:pPr>
    </w:p>
    <w:p w:rsidR="005C59B3" w:rsidRPr="00743018" w:rsidRDefault="005C59B3" w:rsidP="005C59B3">
      <w:pPr>
        <w:jc w:val="center"/>
        <w:rPr>
          <w:rFonts w:ascii="Arial" w:hAnsi="Arial" w:cs="Arial"/>
          <w:b/>
          <w:sz w:val="36"/>
        </w:rPr>
      </w:pPr>
      <w:r w:rsidRPr="00743018">
        <w:rPr>
          <w:rFonts w:ascii="Arial" w:hAnsi="Arial" w:cs="Arial"/>
          <w:b/>
          <w:sz w:val="36"/>
        </w:rPr>
        <w:t>****END OF SURVEY****</w:t>
      </w:r>
    </w:p>
    <w:p w:rsidR="00A9204E" w:rsidRPr="00743018" w:rsidRDefault="00A9204E"/>
    <w:sectPr w:rsidR="00A9204E" w:rsidRPr="007430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5635A9C"/>
    <w:multiLevelType w:val="hybridMultilevel"/>
    <w:tmpl w:val="64AA48AA"/>
    <w:lvl w:ilvl="0" w:tplc="2124C804">
      <w:start w:val="1"/>
      <w:numFmt w:val="decimal"/>
      <w:lvlText w:val="%1."/>
      <w:lvlJc w:val="left"/>
      <w:pPr>
        <w:tabs>
          <w:tab w:val="num" w:pos="360"/>
        </w:tabs>
        <w:ind w:left="360" w:hanging="360"/>
      </w:pPr>
      <w:rPr>
        <w:b w:val="0"/>
        <w:bCs w:val="0"/>
        <w:color w:val="auto"/>
      </w:rPr>
    </w:lvl>
    <w:lvl w:ilvl="1" w:tplc="A63E39E2">
      <w:start w:val="2"/>
      <w:numFmt w:val="lowerLetter"/>
      <w:lvlText w:val="%2."/>
      <w:lvlJc w:val="left"/>
      <w:pPr>
        <w:tabs>
          <w:tab w:val="num" w:pos="1080"/>
        </w:tabs>
        <w:ind w:left="1080" w:hanging="360"/>
      </w:pPr>
      <w:rPr>
        <w:rFonts w:eastAsia="MS Mincho"/>
      </w:rPr>
    </w:lvl>
    <w:lvl w:ilvl="2" w:tplc="7542EE2A">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7" w15:restartNumberingAfterBreak="0">
    <w:nsid w:val="368A066E"/>
    <w:multiLevelType w:val="hybridMultilevel"/>
    <w:tmpl w:val="64AA48AA"/>
    <w:lvl w:ilvl="0" w:tplc="2124C804">
      <w:start w:val="1"/>
      <w:numFmt w:val="decimal"/>
      <w:lvlText w:val="%1."/>
      <w:lvlJc w:val="left"/>
      <w:pPr>
        <w:tabs>
          <w:tab w:val="num" w:pos="720"/>
        </w:tabs>
        <w:ind w:left="720" w:hanging="360"/>
      </w:pPr>
      <w:rPr>
        <w:b w:val="0"/>
        <w:bCs w:val="0"/>
        <w:color w:val="auto"/>
      </w:rPr>
    </w:lvl>
    <w:lvl w:ilvl="1" w:tplc="A63E39E2">
      <w:start w:val="2"/>
      <w:numFmt w:val="lowerLetter"/>
      <w:lvlText w:val="%2."/>
      <w:lvlJc w:val="left"/>
      <w:pPr>
        <w:tabs>
          <w:tab w:val="num" w:pos="1440"/>
        </w:tabs>
        <w:ind w:left="1440" w:hanging="360"/>
      </w:pPr>
      <w:rPr>
        <w:rFonts w:eastAsia="MS Mincho"/>
      </w:rPr>
    </w:lvl>
    <w:lvl w:ilvl="2" w:tplc="7542EE2A">
      <w:start w:val="1"/>
      <w:numFmt w:val="lowerLetter"/>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B726C4A"/>
    <w:multiLevelType w:val="hybridMultilevel"/>
    <w:tmpl w:val="14AC7944"/>
    <w:lvl w:ilvl="0" w:tplc="DC4AABA2">
      <w:start w:val="1"/>
      <w:numFmt w:val="decimal"/>
      <w:lvlText w:val="A%1."/>
      <w:lvlJc w:val="left"/>
      <w:pPr>
        <w:ind w:left="360" w:hanging="360"/>
      </w:pPr>
      <w:rPr>
        <w:rFonts w:ascii="Arial" w:hAnsi="Arial" w:cs="Arial" w:hint="default"/>
        <w:b/>
        <w:i w:val="0"/>
        <w:sz w:val="20"/>
        <w:szCs w:val="21"/>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1"/>
  </w:num>
  <w:num w:numId="2">
    <w:abstractNumId w:val="12"/>
  </w:num>
  <w:num w:numId="3">
    <w:abstractNumId w:val="10"/>
  </w:num>
  <w:num w:numId="4">
    <w:abstractNumId w:val="24"/>
  </w:num>
  <w:num w:numId="5">
    <w:abstractNumId w:val="13"/>
  </w:num>
  <w:num w:numId="6">
    <w:abstractNumId w:val="18"/>
  </w:num>
  <w:num w:numId="7">
    <w:abstractNumId w:val="20"/>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3"/>
  </w:num>
  <w:num w:numId="21">
    <w:abstractNumId w:val="19"/>
  </w:num>
  <w:num w:numId="22">
    <w:abstractNumId w:val="11"/>
  </w:num>
  <w:num w:numId="23">
    <w:abstractNumId w:val="25"/>
  </w:num>
  <w:num w:numId="24">
    <w:abstractNumId w:val="22"/>
  </w:num>
  <w:num w:numId="25">
    <w:abstractNumId w:val="16"/>
  </w:num>
  <w:num w:numId="26">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9B3"/>
    <w:rsid w:val="00203009"/>
    <w:rsid w:val="00394F37"/>
    <w:rsid w:val="003A19F4"/>
    <w:rsid w:val="003E43A9"/>
    <w:rsid w:val="00422F31"/>
    <w:rsid w:val="00476F4B"/>
    <w:rsid w:val="005C59B3"/>
    <w:rsid w:val="005F5B09"/>
    <w:rsid w:val="00645252"/>
    <w:rsid w:val="006D3D74"/>
    <w:rsid w:val="00706F78"/>
    <w:rsid w:val="00743018"/>
    <w:rsid w:val="007C463D"/>
    <w:rsid w:val="0082388D"/>
    <w:rsid w:val="0083569A"/>
    <w:rsid w:val="008A1B2D"/>
    <w:rsid w:val="008B1B50"/>
    <w:rsid w:val="008D49E8"/>
    <w:rsid w:val="00912321"/>
    <w:rsid w:val="009559E0"/>
    <w:rsid w:val="00A74F4F"/>
    <w:rsid w:val="00A9204E"/>
    <w:rsid w:val="00B42DA6"/>
    <w:rsid w:val="00BD1AC1"/>
    <w:rsid w:val="00CB5506"/>
    <w:rsid w:val="00D13362"/>
    <w:rsid w:val="00D915E6"/>
    <w:rsid w:val="00E74AAA"/>
    <w:rsid w:val="00EA0C1E"/>
    <w:rsid w:val="00F023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F013C3-1B98-4662-B026-5553ED332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aliases w:val="KFHR List 1,List Paragraph1"/>
    <w:basedOn w:val="Normal"/>
    <w:uiPriority w:val="34"/>
    <w:qFormat/>
    <w:rsid w:val="005C59B3"/>
    <w:pPr>
      <w:spacing w:after="200" w:line="276" w:lineRule="auto"/>
      <w:ind w:left="720"/>
      <w:contextualSpacing/>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aminath.amany@ifsb.org" TargetMode="External"/><Relationship Id="rId4" Type="http://schemas.openxmlformats.org/officeDocument/2006/relationships/numbering" Target="numbering.xml"/><Relationship Id="rId9" Type="http://schemas.openxmlformats.org/officeDocument/2006/relationships/hyperlink" Target="https://ipicm.questionpro.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inath%20amany\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1</TotalTime>
  <Pages>5</Pages>
  <Words>702</Words>
  <Characters>4007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Amany</dc:creator>
  <cp:keywords/>
  <dc:description/>
  <cp:lastModifiedBy>Hamizi Hamzah</cp:lastModifiedBy>
  <cp:revision>3</cp:revision>
  <cp:lastPrinted>2019-02-08T10:52:00Z</cp:lastPrinted>
  <dcterms:created xsi:type="dcterms:W3CDTF">2019-02-21T09:28:00Z</dcterms:created>
  <dcterms:modified xsi:type="dcterms:W3CDTF">2019-02-22T02:15:00Z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