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251" w:rsidRPr="005D31F9" w:rsidRDefault="00CF0251" w:rsidP="007D789A">
      <w:pPr>
        <w:spacing w:after="0" w:line="240" w:lineRule="auto"/>
        <w:jc w:val="both"/>
        <w:rPr>
          <w:rFonts w:eastAsia="Times New Roman" w:cs="Calibri"/>
          <w:b/>
          <w:lang w:val="en-US"/>
        </w:rPr>
      </w:pPr>
      <w:bookmarkStart w:id="0" w:name="_GoBack"/>
      <w:bookmarkEnd w:id="0"/>
    </w:p>
    <w:p w:rsidR="00CF3A27" w:rsidRDefault="00CF0251" w:rsidP="007D789A">
      <w:pPr>
        <w:pStyle w:val="PlainText"/>
        <w:rPr>
          <w:rFonts w:eastAsia="Times New Roman" w:cs="Calibri"/>
          <w:b/>
          <w:bCs/>
          <w:sz w:val="22"/>
          <w:szCs w:val="22"/>
        </w:rPr>
      </w:pPr>
      <w:r w:rsidRPr="005D31F9">
        <w:rPr>
          <w:rFonts w:eastAsia="Times New Roman" w:cs="Calibri"/>
          <w:b/>
          <w:sz w:val="22"/>
          <w:szCs w:val="22"/>
        </w:rPr>
        <w:t xml:space="preserve">RE: </w:t>
      </w:r>
      <w:r w:rsidR="00947F39" w:rsidRPr="00947F39">
        <w:rPr>
          <w:rFonts w:eastAsia="Times New Roman" w:cs="Calibri"/>
          <w:b/>
          <w:bCs/>
          <w:sz w:val="22"/>
          <w:szCs w:val="22"/>
        </w:rPr>
        <w:t>Brokerage Industry Digitisation Group (BRIDGe)</w:t>
      </w:r>
    </w:p>
    <w:p w:rsidR="00947F39" w:rsidRPr="005D31F9" w:rsidRDefault="00947F39" w:rsidP="007D789A">
      <w:pPr>
        <w:pStyle w:val="PlainText"/>
        <w:rPr>
          <w:rFonts w:eastAsia="Times New Roman" w:cs="Calibri"/>
          <w:b/>
          <w:sz w:val="22"/>
          <w:szCs w:val="22"/>
          <w:lang w:val="en-US"/>
        </w:rPr>
      </w:pPr>
    </w:p>
    <w:tbl>
      <w:tblPr>
        <w:tblW w:w="0" w:type="auto"/>
        <w:tblLook w:val="01E0" w:firstRow="1" w:lastRow="1" w:firstColumn="1" w:lastColumn="1" w:noHBand="0" w:noVBand="0"/>
      </w:tblPr>
      <w:tblGrid>
        <w:gridCol w:w="3348"/>
        <w:gridCol w:w="6487"/>
      </w:tblGrid>
      <w:tr w:rsidR="00CF0251" w:rsidRPr="005D31F9" w:rsidTr="00E74E4F">
        <w:trPr>
          <w:trHeight w:val="432"/>
        </w:trPr>
        <w:tc>
          <w:tcPr>
            <w:tcW w:w="3348" w:type="dxa"/>
          </w:tcPr>
          <w:p w:rsidR="00CF0251" w:rsidRPr="005D31F9" w:rsidRDefault="00CF0251" w:rsidP="007D789A">
            <w:pPr>
              <w:spacing w:after="0" w:line="240" w:lineRule="auto"/>
              <w:jc w:val="both"/>
              <w:rPr>
                <w:rFonts w:eastAsia="Times New Roman" w:cs="Calibri"/>
                <w:lang w:val="en-US"/>
              </w:rPr>
            </w:pPr>
            <w:r w:rsidRPr="005D31F9">
              <w:rPr>
                <w:rFonts w:eastAsia="Times New Roman" w:cs="Calibri"/>
                <w:lang w:val="en-US"/>
              </w:rPr>
              <w:t>Member Company</w:t>
            </w:r>
          </w:p>
          <w:p w:rsidR="00CF0251" w:rsidRPr="005D31F9" w:rsidRDefault="00CF0251" w:rsidP="007D789A">
            <w:pPr>
              <w:spacing w:after="0" w:line="240" w:lineRule="auto"/>
              <w:jc w:val="both"/>
              <w:rPr>
                <w:rFonts w:eastAsia="Times New Roman" w:cs="Calibri"/>
                <w:b/>
                <w:i/>
                <w:lang w:val="en-US"/>
              </w:rPr>
            </w:pPr>
          </w:p>
        </w:tc>
        <w:tc>
          <w:tcPr>
            <w:tcW w:w="6487" w:type="dxa"/>
          </w:tcPr>
          <w:p w:rsidR="00CF0251" w:rsidRPr="005D31F9" w:rsidRDefault="00CF0251" w:rsidP="007D789A">
            <w:pPr>
              <w:spacing w:after="0" w:line="240" w:lineRule="auto"/>
              <w:jc w:val="both"/>
              <w:rPr>
                <w:rFonts w:eastAsia="Times New Roman" w:cs="Calibri"/>
                <w:lang w:val="en-US"/>
              </w:rPr>
            </w:pPr>
            <w:r w:rsidRPr="005D31F9">
              <w:rPr>
                <w:rFonts w:eastAsia="Times New Roman" w:cs="Calibri"/>
                <w:lang w:val="en-US"/>
              </w:rPr>
              <w:t>:  ……………………………………………</w:t>
            </w:r>
          </w:p>
        </w:tc>
      </w:tr>
      <w:tr w:rsidR="00CF0251" w:rsidRPr="005D31F9" w:rsidTr="00E74E4F">
        <w:trPr>
          <w:trHeight w:val="288"/>
        </w:trPr>
        <w:tc>
          <w:tcPr>
            <w:tcW w:w="3348" w:type="dxa"/>
          </w:tcPr>
          <w:p w:rsidR="00CF0251" w:rsidRPr="005D31F9" w:rsidRDefault="001D6B62" w:rsidP="007D789A">
            <w:pPr>
              <w:spacing w:after="0" w:line="240" w:lineRule="auto"/>
              <w:jc w:val="both"/>
              <w:rPr>
                <w:rFonts w:eastAsia="Times New Roman" w:cs="Calibri"/>
                <w:lang w:val="en-US"/>
              </w:rPr>
            </w:pPr>
            <w:r w:rsidRPr="005D31F9">
              <w:rPr>
                <w:rFonts w:eastAsia="Times New Roman" w:cs="Calibri"/>
                <w:lang w:val="en-US"/>
              </w:rPr>
              <w:t>Contact person</w:t>
            </w:r>
          </w:p>
          <w:p w:rsidR="00CF0251" w:rsidRPr="005D31F9" w:rsidRDefault="00CF0251" w:rsidP="007D789A">
            <w:pPr>
              <w:spacing w:after="0" w:line="240" w:lineRule="auto"/>
              <w:jc w:val="both"/>
              <w:rPr>
                <w:rFonts w:eastAsia="Times New Roman" w:cs="Calibri"/>
                <w:b/>
                <w:i/>
                <w:lang w:val="en-US"/>
              </w:rPr>
            </w:pPr>
          </w:p>
          <w:p w:rsidR="001D6B62" w:rsidRPr="005D31F9" w:rsidRDefault="001D6B62" w:rsidP="007D789A">
            <w:pPr>
              <w:spacing w:after="0" w:line="240" w:lineRule="auto"/>
              <w:jc w:val="both"/>
              <w:rPr>
                <w:rFonts w:eastAsia="Times New Roman" w:cs="Calibri"/>
                <w:lang w:val="en-US"/>
              </w:rPr>
            </w:pPr>
            <w:r w:rsidRPr="005D31F9">
              <w:rPr>
                <w:rFonts w:eastAsia="Times New Roman" w:cs="Calibri"/>
                <w:lang w:val="en-US"/>
              </w:rPr>
              <w:t xml:space="preserve">Title/Designation   </w:t>
            </w:r>
          </w:p>
          <w:p w:rsidR="00654E76" w:rsidRPr="005D31F9" w:rsidRDefault="00654E76" w:rsidP="007D789A">
            <w:pPr>
              <w:spacing w:after="0" w:line="240" w:lineRule="auto"/>
              <w:jc w:val="both"/>
              <w:rPr>
                <w:rFonts w:eastAsia="Times New Roman" w:cs="Calibri"/>
                <w:lang w:val="en-US"/>
              </w:rPr>
            </w:pPr>
          </w:p>
          <w:p w:rsidR="001D6B62" w:rsidRPr="005D31F9" w:rsidRDefault="001D6B62" w:rsidP="007D789A">
            <w:pPr>
              <w:spacing w:after="0" w:line="240" w:lineRule="auto"/>
              <w:jc w:val="both"/>
              <w:rPr>
                <w:rFonts w:eastAsia="Times New Roman" w:cs="Calibri"/>
                <w:lang w:val="en-US"/>
              </w:rPr>
            </w:pPr>
            <w:r w:rsidRPr="005D31F9">
              <w:rPr>
                <w:rFonts w:eastAsia="Times New Roman" w:cs="Calibri"/>
                <w:lang w:val="en-US"/>
              </w:rPr>
              <w:t>Phone No</w:t>
            </w:r>
          </w:p>
          <w:p w:rsidR="00654E76" w:rsidRPr="005D31F9" w:rsidRDefault="00654E76" w:rsidP="007D789A">
            <w:pPr>
              <w:spacing w:after="0" w:line="240" w:lineRule="auto"/>
              <w:jc w:val="both"/>
              <w:rPr>
                <w:rFonts w:eastAsia="Times New Roman" w:cs="Calibri"/>
                <w:lang w:val="en-US"/>
              </w:rPr>
            </w:pPr>
          </w:p>
          <w:p w:rsidR="001D6B62" w:rsidRPr="005D31F9" w:rsidRDefault="001D6B62" w:rsidP="007D789A">
            <w:pPr>
              <w:spacing w:after="0" w:line="240" w:lineRule="auto"/>
              <w:jc w:val="both"/>
              <w:rPr>
                <w:rFonts w:eastAsia="Times New Roman" w:cs="Calibri"/>
                <w:b/>
                <w:i/>
                <w:lang w:val="en-US"/>
              </w:rPr>
            </w:pPr>
            <w:r w:rsidRPr="005D31F9">
              <w:rPr>
                <w:rFonts w:eastAsia="Times New Roman" w:cs="Calibri"/>
                <w:lang w:val="en-US"/>
              </w:rPr>
              <w:t xml:space="preserve">Email Address    </w:t>
            </w:r>
          </w:p>
        </w:tc>
        <w:tc>
          <w:tcPr>
            <w:tcW w:w="6487" w:type="dxa"/>
          </w:tcPr>
          <w:p w:rsidR="00CF0251" w:rsidRPr="005D31F9" w:rsidRDefault="00CF0251" w:rsidP="007D789A">
            <w:pPr>
              <w:spacing w:after="0" w:line="240" w:lineRule="auto"/>
              <w:jc w:val="both"/>
              <w:rPr>
                <w:rFonts w:eastAsia="Times New Roman" w:cs="Calibri"/>
                <w:lang w:val="en-US"/>
              </w:rPr>
            </w:pPr>
            <w:r w:rsidRPr="005D31F9">
              <w:rPr>
                <w:rFonts w:eastAsia="Times New Roman" w:cs="Calibri"/>
                <w:lang w:val="en-US"/>
              </w:rPr>
              <w:t>:  ……………………………………………..</w:t>
            </w:r>
          </w:p>
          <w:p w:rsidR="001D6B62" w:rsidRPr="005D31F9" w:rsidRDefault="001D6B62" w:rsidP="007D789A">
            <w:pPr>
              <w:spacing w:after="0" w:line="240" w:lineRule="auto"/>
              <w:jc w:val="both"/>
              <w:rPr>
                <w:rFonts w:eastAsia="Times New Roman" w:cs="Calibri"/>
                <w:lang w:val="en-US"/>
              </w:rPr>
            </w:pPr>
          </w:p>
          <w:p w:rsidR="001D6B62" w:rsidRPr="005D31F9" w:rsidRDefault="001D6B62" w:rsidP="007D789A">
            <w:pPr>
              <w:spacing w:after="0" w:line="240" w:lineRule="auto"/>
              <w:jc w:val="both"/>
              <w:rPr>
                <w:rFonts w:eastAsia="Times New Roman" w:cs="Calibri"/>
                <w:lang w:val="en-US"/>
              </w:rPr>
            </w:pPr>
            <w:r w:rsidRPr="005D31F9">
              <w:rPr>
                <w:rFonts w:eastAsia="Times New Roman" w:cs="Calibri"/>
                <w:lang w:val="en-US"/>
              </w:rPr>
              <w:t>:</w:t>
            </w:r>
            <w:r w:rsidR="00654E76" w:rsidRPr="005D31F9">
              <w:rPr>
                <w:rFonts w:eastAsia="Times New Roman" w:cs="Calibri"/>
                <w:lang w:val="en-US"/>
              </w:rPr>
              <w:t xml:space="preserve">  </w:t>
            </w:r>
            <w:r w:rsidRPr="005D31F9">
              <w:rPr>
                <w:rFonts w:eastAsia="Times New Roman" w:cs="Calibri"/>
                <w:lang w:val="en-US"/>
              </w:rPr>
              <w:t>……………………………………………..</w:t>
            </w:r>
          </w:p>
          <w:p w:rsidR="001D6B62" w:rsidRPr="005D31F9" w:rsidRDefault="001D6B62" w:rsidP="007D789A">
            <w:pPr>
              <w:spacing w:after="0" w:line="240" w:lineRule="auto"/>
              <w:jc w:val="both"/>
              <w:rPr>
                <w:rFonts w:eastAsia="Times New Roman" w:cs="Calibri"/>
                <w:lang w:val="en-US"/>
              </w:rPr>
            </w:pPr>
          </w:p>
          <w:p w:rsidR="001D6B62" w:rsidRPr="005D31F9" w:rsidRDefault="001D6B62" w:rsidP="007D789A">
            <w:pPr>
              <w:spacing w:after="0" w:line="240" w:lineRule="auto"/>
              <w:jc w:val="both"/>
              <w:rPr>
                <w:rFonts w:eastAsia="Times New Roman" w:cs="Calibri"/>
                <w:lang w:val="en-US"/>
              </w:rPr>
            </w:pPr>
            <w:r w:rsidRPr="005D31F9">
              <w:rPr>
                <w:rFonts w:eastAsia="Times New Roman" w:cs="Calibri"/>
                <w:lang w:val="en-US"/>
              </w:rPr>
              <w:t xml:space="preserve">: </w:t>
            </w:r>
            <w:r w:rsidR="00654E76" w:rsidRPr="005D31F9">
              <w:rPr>
                <w:rFonts w:eastAsia="Times New Roman" w:cs="Calibri"/>
                <w:lang w:val="en-US"/>
              </w:rPr>
              <w:t xml:space="preserve"> </w:t>
            </w:r>
            <w:r w:rsidRPr="005D31F9">
              <w:rPr>
                <w:rFonts w:eastAsia="Times New Roman" w:cs="Calibri"/>
                <w:lang w:val="en-US"/>
              </w:rPr>
              <w:t>……………………………………………</w:t>
            </w:r>
            <w:r w:rsidR="00654E76" w:rsidRPr="005D31F9">
              <w:rPr>
                <w:rFonts w:eastAsia="Times New Roman" w:cs="Calibri"/>
                <w:lang w:val="en-US"/>
              </w:rPr>
              <w:t>..</w:t>
            </w:r>
          </w:p>
          <w:p w:rsidR="001D6B62" w:rsidRPr="005D31F9" w:rsidRDefault="001D6B62" w:rsidP="007D789A">
            <w:pPr>
              <w:spacing w:after="0" w:line="240" w:lineRule="auto"/>
              <w:jc w:val="both"/>
              <w:rPr>
                <w:rFonts w:eastAsia="Times New Roman" w:cs="Calibri"/>
                <w:lang w:val="en-US"/>
              </w:rPr>
            </w:pPr>
          </w:p>
          <w:p w:rsidR="001D6B62" w:rsidRPr="005D31F9" w:rsidRDefault="001D6B62" w:rsidP="007D789A">
            <w:pPr>
              <w:spacing w:after="0" w:line="240" w:lineRule="auto"/>
              <w:jc w:val="both"/>
              <w:rPr>
                <w:rFonts w:eastAsia="Times New Roman" w:cs="Calibri"/>
                <w:lang w:val="en-US"/>
              </w:rPr>
            </w:pPr>
            <w:r w:rsidRPr="005D31F9">
              <w:rPr>
                <w:rFonts w:eastAsia="Times New Roman" w:cs="Calibri"/>
                <w:lang w:val="en-US"/>
              </w:rPr>
              <w:t>:  ………………………………………………</w:t>
            </w:r>
          </w:p>
          <w:p w:rsidR="001D6B62" w:rsidRPr="005D31F9" w:rsidRDefault="001D6B62" w:rsidP="007D789A">
            <w:pPr>
              <w:spacing w:after="0" w:line="240" w:lineRule="auto"/>
              <w:jc w:val="both"/>
              <w:rPr>
                <w:rFonts w:eastAsia="Times New Roman" w:cs="Calibri"/>
                <w:lang w:val="en-US"/>
              </w:rPr>
            </w:pPr>
          </w:p>
          <w:p w:rsidR="001D6B62" w:rsidRPr="005D31F9" w:rsidRDefault="001D6B62" w:rsidP="007D789A">
            <w:pPr>
              <w:spacing w:after="0" w:line="240" w:lineRule="auto"/>
              <w:jc w:val="both"/>
              <w:rPr>
                <w:rFonts w:eastAsia="Times New Roman" w:cs="Calibri"/>
                <w:lang w:val="en-US"/>
              </w:rPr>
            </w:pPr>
          </w:p>
        </w:tc>
      </w:tr>
    </w:tbl>
    <w:p w:rsidR="00CF0251" w:rsidRPr="005D31F9" w:rsidRDefault="00CF0251" w:rsidP="007D789A">
      <w:pPr>
        <w:pBdr>
          <w:bottom w:val="single" w:sz="12" w:space="0" w:color="auto"/>
        </w:pBdr>
        <w:spacing w:after="0" w:line="240" w:lineRule="auto"/>
        <w:jc w:val="both"/>
        <w:rPr>
          <w:rFonts w:eastAsia="Times New Roman" w:cs="Calibri"/>
          <w:b/>
          <w:bCs/>
          <w:lang w:val="en-US"/>
        </w:rPr>
      </w:pPr>
      <w:r w:rsidRPr="005D31F9">
        <w:rPr>
          <w:rFonts w:eastAsia="Times New Roman" w:cs="Calibri"/>
          <w:b/>
          <w:bCs/>
          <w:lang w:val="en-US"/>
        </w:rPr>
        <w:t xml:space="preserve">                                   </w:t>
      </w:r>
    </w:p>
    <w:p w:rsidR="00CF0251" w:rsidRPr="005D31F9" w:rsidRDefault="00CF0251" w:rsidP="007D789A">
      <w:pPr>
        <w:autoSpaceDE w:val="0"/>
        <w:autoSpaceDN w:val="0"/>
        <w:adjustRightInd w:val="0"/>
        <w:spacing w:after="0" w:line="240" w:lineRule="auto"/>
        <w:jc w:val="both"/>
        <w:rPr>
          <w:rFonts w:eastAsia="Times New Roman" w:cs="Calibri"/>
          <w:lang w:val="en-US"/>
        </w:rPr>
      </w:pPr>
    </w:p>
    <w:p w:rsidR="00784114" w:rsidRPr="005D31F9" w:rsidRDefault="00784114" w:rsidP="007D789A">
      <w:pPr>
        <w:autoSpaceDE w:val="0"/>
        <w:autoSpaceDN w:val="0"/>
        <w:adjustRightInd w:val="0"/>
        <w:spacing w:after="0" w:line="240" w:lineRule="auto"/>
        <w:jc w:val="both"/>
        <w:rPr>
          <w:rFonts w:eastAsia="Times New Roman" w:cs="Calibri"/>
          <w:lang w:val="en-US"/>
        </w:rPr>
      </w:pPr>
      <w:r w:rsidRPr="005D31F9">
        <w:rPr>
          <w:rFonts w:eastAsia="Times New Roman" w:cs="Calibri"/>
          <w:b/>
          <w:lang w:val="en-US"/>
        </w:rPr>
        <w:t>Please give your feedback in the provided space below. Please attach additional pages if necessary.</w:t>
      </w:r>
    </w:p>
    <w:p w:rsidR="001D6B62" w:rsidRDefault="001D6B62" w:rsidP="007D789A">
      <w:pPr>
        <w:autoSpaceDE w:val="0"/>
        <w:autoSpaceDN w:val="0"/>
        <w:adjustRightInd w:val="0"/>
        <w:spacing w:after="0" w:line="240" w:lineRule="auto"/>
        <w:jc w:val="both"/>
        <w:rPr>
          <w:rFonts w:eastAsia="Times New Roman" w:cs="Calibri"/>
          <w:lang w:val="en-US"/>
        </w:rPr>
      </w:pPr>
    </w:p>
    <w:p w:rsidR="00D973EA" w:rsidRPr="005D31F9" w:rsidRDefault="00D973EA" w:rsidP="007D789A">
      <w:pPr>
        <w:autoSpaceDE w:val="0"/>
        <w:autoSpaceDN w:val="0"/>
        <w:adjustRightInd w:val="0"/>
        <w:spacing w:after="0" w:line="240" w:lineRule="auto"/>
        <w:jc w:val="both"/>
        <w:rPr>
          <w:rFonts w:eastAsia="Times New Roman" w:cs="Calibri"/>
          <w:lang w:val="en-US"/>
        </w:rPr>
      </w:pPr>
    </w:p>
    <w:p w:rsidR="00D973EA" w:rsidRPr="00A82BBD" w:rsidRDefault="00A82BBD" w:rsidP="00A82BBD">
      <w:pPr>
        <w:pStyle w:val="ListParagraph"/>
        <w:numPr>
          <w:ilvl w:val="0"/>
          <w:numId w:val="17"/>
        </w:numPr>
        <w:tabs>
          <w:tab w:val="left" w:pos="426"/>
          <w:tab w:val="left" w:pos="567"/>
          <w:tab w:val="left" w:pos="1134"/>
        </w:tabs>
        <w:autoSpaceDE w:val="0"/>
        <w:autoSpaceDN w:val="0"/>
        <w:adjustRightInd w:val="0"/>
        <w:spacing w:after="0" w:line="240" w:lineRule="auto"/>
        <w:jc w:val="both"/>
        <w:rPr>
          <w:rFonts w:eastAsia="Times New Roman" w:cs="Calibri"/>
          <w:b/>
        </w:rPr>
      </w:pPr>
      <w:r w:rsidRPr="00A82BBD">
        <w:rPr>
          <w:rFonts w:eastAsia="Times New Roman" w:cs="Calibri"/>
          <w:b/>
        </w:rPr>
        <w:t>Reintroduction of defaulters’ list</w:t>
      </w:r>
    </w:p>
    <w:p w:rsidR="00A82BBD" w:rsidRPr="00A82BBD" w:rsidRDefault="00A82BBD" w:rsidP="00A82BBD">
      <w:pPr>
        <w:pStyle w:val="ListParagraph"/>
        <w:tabs>
          <w:tab w:val="left" w:pos="426"/>
          <w:tab w:val="left" w:pos="567"/>
          <w:tab w:val="left" w:pos="1134"/>
        </w:tabs>
        <w:autoSpaceDE w:val="0"/>
        <w:autoSpaceDN w:val="0"/>
        <w:adjustRightInd w:val="0"/>
        <w:spacing w:after="0" w:line="240" w:lineRule="auto"/>
        <w:ind w:left="1080"/>
        <w:jc w:val="both"/>
        <w:rPr>
          <w:rFonts w:eastAsia="Times New Roman" w:cs="Calibri"/>
          <w:lang w:val="en-US"/>
        </w:rPr>
      </w:pPr>
    </w:p>
    <w:tbl>
      <w:tblPr>
        <w:tblStyle w:val="TableGrid"/>
        <w:tblW w:w="0" w:type="auto"/>
        <w:tblLook w:val="04A0" w:firstRow="1" w:lastRow="0" w:firstColumn="1" w:lastColumn="0" w:noHBand="0" w:noVBand="1"/>
      </w:tblPr>
      <w:tblGrid>
        <w:gridCol w:w="5920"/>
        <w:gridCol w:w="4006"/>
        <w:gridCol w:w="4964"/>
      </w:tblGrid>
      <w:tr w:rsidR="005D31F9" w:rsidRPr="005D31F9" w:rsidTr="00C52563">
        <w:trPr>
          <w:tblHeader/>
        </w:trPr>
        <w:tc>
          <w:tcPr>
            <w:tcW w:w="5920" w:type="dxa"/>
            <w:shd w:val="clear" w:color="auto" w:fill="F2F2F2" w:themeFill="background1" w:themeFillShade="F2"/>
          </w:tcPr>
          <w:p w:rsidR="005D31F9" w:rsidRPr="005D31F9" w:rsidRDefault="00EC1BF1" w:rsidP="00EC1BF1">
            <w:pPr>
              <w:autoSpaceDE w:val="0"/>
              <w:autoSpaceDN w:val="0"/>
              <w:adjustRightInd w:val="0"/>
              <w:spacing w:after="0" w:line="240" w:lineRule="auto"/>
              <w:jc w:val="both"/>
              <w:rPr>
                <w:rFonts w:eastAsia="Times New Roman" w:cs="Calibri"/>
                <w:b/>
                <w:lang w:val="en-US"/>
              </w:rPr>
            </w:pPr>
            <w:r>
              <w:rPr>
                <w:rFonts w:eastAsia="Times New Roman" w:cs="Calibri"/>
                <w:b/>
                <w:lang w:val="en-US"/>
              </w:rPr>
              <w:t>Issues and initiatives raised at BRIDGe workshop meeting</w:t>
            </w:r>
            <w:r w:rsidR="00CC0ADC">
              <w:rPr>
                <w:rFonts w:eastAsia="Times New Roman" w:cs="Calibri"/>
                <w:b/>
                <w:lang w:val="en-US"/>
              </w:rPr>
              <w:t>s</w:t>
            </w:r>
          </w:p>
        </w:tc>
        <w:tc>
          <w:tcPr>
            <w:tcW w:w="4006" w:type="dxa"/>
            <w:shd w:val="clear" w:color="auto" w:fill="F2F2F2" w:themeFill="background1" w:themeFillShade="F2"/>
          </w:tcPr>
          <w:p w:rsidR="005D31F9" w:rsidRPr="005D31F9" w:rsidRDefault="00A82BBD" w:rsidP="007D789A">
            <w:pPr>
              <w:autoSpaceDE w:val="0"/>
              <w:autoSpaceDN w:val="0"/>
              <w:adjustRightInd w:val="0"/>
              <w:spacing w:after="0" w:line="240" w:lineRule="auto"/>
              <w:jc w:val="both"/>
              <w:rPr>
                <w:rFonts w:eastAsia="Times New Roman" w:cs="Calibri"/>
                <w:b/>
                <w:lang w:val="en-US"/>
              </w:rPr>
            </w:pPr>
            <w:r>
              <w:rPr>
                <w:rFonts w:eastAsia="Times New Roman" w:cs="Calibri"/>
                <w:b/>
                <w:lang w:val="en-US"/>
              </w:rPr>
              <w:t>Proposal</w:t>
            </w:r>
          </w:p>
        </w:tc>
        <w:tc>
          <w:tcPr>
            <w:tcW w:w="4964" w:type="dxa"/>
            <w:shd w:val="clear" w:color="auto" w:fill="F2F2F2" w:themeFill="background1" w:themeFillShade="F2"/>
          </w:tcPr>
          <w:p w:rsidR="005D31F9" w:rsidRPr="005D31F9" w:rsidRDefault="005D31F9" w:rsidP="007D789A">
            <w:pPr>
              <w:autoSpaceDE w:val="0"/>
              <w:autoSpaceDN w:val="0"/>
              <w:adjustRightInd w:val="0"/>
              <w:spacing w:after="0" w:line="240" w:lineRule="auto"/>
              <w:jc w:val="both"/>
              <w:rPr>
                <w:rFonts w:eastAsia="Times New Roman" w:cs="Calibri"/>
                <w:b/>
                <w:lang w:val="en-US"/>
              </w:rPr>
            </w:pPr>
            <w:r w:rsidRPr="005D31F9">
              <w:rPr>
                <w:rFonts w:eastAsia="Times New Roman" w:cs="Calibri"/>
                <w:b/>
                <w:lang w:val="en-US"/>
              </w:rPr>
              <w:t>Member’s Suggestion on the Approach to be Adopted</w:t>
            </w:r>
            <w:r w:rsidR="006C3A0A">
              <w:rPr>
                <w:rFonts w:eastAsia="Times New Roman" w:cs="Calibri"/>
                <w:b/>
                <w:lang w:val="en-US"/>
              </w:rPr>
              <w:t xml:space="preserve"> and Reason(s) for the Suggestion</w:t>
            </w:r>
            <w:r w:rsidR="00203BBC">
              <w:rPr>
                <w:rFonts w:eastAsia="Times New Roman" w:cs="Calibri"/>
                <w:b/>
                <w:lang w:val="en-US"/>
              </w:rPr>
              <w:t xml:space="preserve"> </w:t>
            </w:r>
          </w:p>
        </w:tc>
      </w:tr>
      <w:tr w:rsidR="005D31F9" w:rsidRPr="005D31F9" w:rsidTr="00C52563">
        <w:tc>
          <w:tcPr>
            <w:tcW w:w="5920" w:type="dxa"/>
          </w:tcPr>
          <w:p w:rsidR="00A82BBD" w:rsidRDefault="00A82BBD" w:rsidP="007D789A">
            <w:pPr>
              <w:spacing w:after="0" w:line="240" w:lineRule="auto"/>
              <w:rPr>
                <w:rFonts w:asciiTheme="minorHAnsi" w:eastAsiaTheme="minorHAnsi" w:hAnsiTheme="minorHAnsi" w:cstheme="minorBidi"/>
              </w:rPr>
            </w:pPr>
            <w:r>
              <w:rPr>
                <w:rFonts w:asciiTheme="minorHAnsi" w:eastAsiaTheme="minorHAnsi" w:hAnsiTheme="minorHAnsi" w:cstheme="minorBidi"/>
              </w:rPr>
              <w:t>On 2</w:t>
            </w:r>
            <w:r w:rsidRPr="00A82BBD">
              <w:rPr>
                <w:rFonts w:asciiTheme="minorHAnsi" w:eastAsiaTheme="minorHAnsi" w:hAnsiTheme="minorHAnsi" w:cstheme="minorBidi"/>
                <w:vertAlign w:val="superscript"/>
              </w:rPr>
              <w:t>nd</w:t>
            </w:r>
            <w:r>
              <w:rPr>
                <w:rFonts w:asciiTheme="minorHAnsi" w:eastAsiaTheme="minorHAnsi" w:hAnsiTheme="minorHAnsi" w:cstheme="minorBidi"/>
              </w:rPr>
              <w:t xml:space="preserve"> May 2013, Bursa Malaysia Securities Berhad issued revamped rules for securities brokers. Through this revamp exercise, provisions on the defaulters’ list have been removed despite objections from brokers to continue the provision of listing of </w:t>
            </w:r>
            <w:r w:rsidR="00EC1BF1">
              <w:rPr>
                <w:rFonts w:asciiTheme="minorHAnsi" w:eastAsiaTheme="minorHAnsi" w:hAnsiTheme="minorHAnsi" w:cstheme="minorBidi"/>
              </w:rPr>
              <w:t>defaulters’</w:t>
            </w:r>
            <w:r>
              <w:rPr>
                <w:rFonts w:asciiTheme="minorHAnsi" w:eastAsiaTheme="minorHAnsi" w:hAnsiTheme="minorHAnsi" w:cstheme="minorBidi"/>
              </w:rPr>
              <w:t xml:space="preserve"> </w:t>
            </w:r>
            <w:r w:rsidR="00466D6C">
              <w:rPr>
                <w:rFonts w:asciiTheme="minorHAnsi" w:eastAsiaTheme="minorHAnsi" w:hAnsiTheme="minorHAnsi" w:cstheme="minorBidi"/>
              </w:rPr>
              <w:t xml:space="preserve">service </w:t>
            </w:r>
            <w:r>
              <w:rPr>
                <w:rFonts w:asciiTheme="minorHAnsi" w:eastAsiaTheme="minorHAnsi" w:hAnsiTheme="minorHAnsi" w:cstheme="minorBidi"/>
              </w:rPr>
              <w:t xml:space="preserve">as an important credit management tool on dealing with new </w:t>
            </w:r>
            <w:r w:rsidR="009874C6">
              <w:rPr>
                <w:rFonts w:asciiTheme="minorHAnsi" w:eastAsiaTheme="minorHAnsi" w:hAnsiTheme="minorHAnsi" w:cstheme="minorBidi"/>
              </w:rPr>
              <w:t xml:space="preserve">and existing </w:t>
            </w:r>
            <w:r>
              <w:rPr>
                <w:rFonts w:asciiTheme="minorHAnsi" w:eastAsiaTheme="minorHAnsi" w:hAnsiTheme="minorHAnsi" w:cstheme="minorBidi"/>
              </w:rPr>
              <w:t xml:space="preserve">customers. </w:t>
            </w:r>
          </w:p>
          <w:p w:rsidR="00A82BBD" w:rsidRDefault="00A82BBD" w:rsidP="007D789A">
            <w:pPr>
              <w:spacing w:after="0" w:line="240" w:lineRule="auto"/>
              <w:rPr>
                <w:rFonts w:asciiTheme="minorHAnsi" w:eastAsiaTheme="minorHAnsi" w:hAnsiTheme="minorHAnsi" w:cstheme="minorBidi"/>
              </w:rPr>
            </w:pPr>
          </w:p>
          <w:p w:rsidR="00A82BBD" w:rsidRDefault="00A82BBD" w:rsidP="007D789A">
            <w:pPr>
              <w:spacing w:after="0" w:line="240" w:lineRule="auto"/>
              <w:rPr>
                <w:rFonts w:asciiTheme="minorHAnsi" w:eastAsiaTheme="minorHAnsi" w:hAnsiTheme="minorHAnsi" w:cstheme="minorBidi"/>
              </w:rPr>
            </w:pPr>
            <w:r>
              <w:rPr>
                <w:rFonts w:asciiTheme="minorHAnsi" w:eastAsiaTheme="minorHAnsi" w:hAnsiTheme="minorHAnsi" w:cstheme="minorBidi"/>
              </w:rPr>
              <w:t>Over the years, ASCM ha</w:t>
            </w:r>
            <w:r w:rsidR="00466D6C">
              <w:rPr>
                <w:rFonts w:asciiTheme="minorHAnsi" w:eastAsiaTheme="minorHAnsi" w:hAnsiTheme="minorHAnsi" w:cstheme="minorBidi"/>
              </w:rPr>
              <w:t>d</w:t>
            </w:r>
            <w:r>
              <w:rPr>
                <w:rFonts w:asciiTheme="minorHAnsi" w:eastAsiaTheme="minorHAnsi" w:hAnsiTheme="minorHAnsi" w:cstheme="minorBidi"/>
              </w:rPr>
              <w:t xml:space="preserve"> requested SC and Bursa to reintroduce the defaulters’ </w:t>
            </w:r>
            <w:r w:rsidR="00E47A65">
              <w:rPr>
                <w:rFonts w:asciiTheme="minorHAnsi" w:eastAsiaTheme="minorHAnsi" w:hAnsiTheme="minorHAnsi" w:cstheme="minorBidi"/>
              </w:rPr>
              <w:t>list service to the industry as an essential credit management tool. BRIDGe has acknowledged the importance of this service to the industry.</w:t>
            </w:r>
          </w:p>
          <w:p w:rsidR="00A82BBD" w:rsidRDefault="00E47A65" w:rsidP="007D789A">
            <w:pPr>
              <w:spacing w:after="0" w:line="240" w:lineRule="auto"/>
              <w:rPr>
                <w:rFonts w:asciiTheme="minorHAnsi" w:eastAsiaTheme="minorHAnsi" w:hAnsiTheme="minorHAnsi" w:cstheme="minorBidi"/>
              </w:rPr>
            </w:pPr>
            <w:r>
              <w:rPr>
                <w:rFonts w:asciiTheme="minorHAnsi" w:eastAsiaTheme="minorHAnsi" w:hAnsiTheme="minorHAnsi" w:cstheme="minorBidi"/>
              </w:rPr>
              <w:lastRenderedPageBreak/>
              <w:t xml:space="preserve">In order to relook into the introduction of the defaulters’ list service, the </w:t>
            </w:r>
            <w:r w:rsidRPr="00E47A65">
              <w:rPr>
                <w:rFonts w:asciiTheme="minorHAnsi" w:eastAsiaTheme="minorHAnsi" w:hAnsiTheme="minorHAnsi" w:cstheme="minorBidi"/>
              </w:rPr>
              <w:t>Digital On-boarding Working Group</w:t>
            </w:r>
            <w:r>
              <w:rPr>
                <w:rFonts w:asciiTheme="minorHAnsi" w:eastAsiaTheme="minorHAnsi" w:hAnsiTheme="minorHAnsi" w:cstheme="minorBidi"/>
              </w:rPr>
              <w:t xml:space="preserve"> take</w:t>
            </w:r>
            <w:r w:rsidR="00610B35">
              <w:rPr>
                <w:rFonts w:asciiTheme="minorHAnsi" w:eastAsiaTheme="minorHAnsi" w:hAnsiTheme="minorHAnsi" w:cstheme="minorBidi"/>
              </w:rPr>
              <w:t>s this</w:t>
            </w:r>
            <w:r>
              <w:rPr>
                <w:rFonts w:asciiTheme="minorHAnsi" w:eastAsiaTheme="minorHAnsi" w:hAnsiTheme="minorHAnsi" w:cstheme="minorBidi"/>
              </w:rPr>
              <w:t xml:space="preserve"> opportunity to review and revamp the </w:t>
            </w:r>
            <w:r w:rsidR="00466D6C">
              <w:rPr>
                <w:rFonts w:asciiTheme="minorHAnsi" w:eastAsiaTheme="minorHAnsi" w:hAnsiTheme="minorHAnsi" w:cstheme="minorBidi"/>
              </w:rPr>
              <w:t xml:space="preserve">provisions and </w:t>
            </w:r>
            <w:r>
              <w:rPr>
                <w:rFonts w:asciiTheme="minorHAnsi" w:eastAsiaTheme="minorHAnsi" w:hAnsiTheme="minorHAnsi" w:cstheme="minorBidi"/>
              </w:rPr>
              <w:t xml:space="preserve">processes of the defaulters’ list to ensure that the administrator and also the brokers as users of this service are not unnecessarily burdened by onerous obligations imposed under Bursa Rule 403.1 </w:t>
            </w:r>
            <w:r w:rsidR="00466D6C">
              <w:rPr>
                <w:rFonts w:asciiTheme="minorHAnsi" w:eastAsiaTheme="minorHAnsi" w:hAnsiTheme="minorHAnsi" w:cstheme="minorBidi"/>
              </w:rPr>
              <w:t xml:space="preserve">(old rule) </w:t>
            </w:r>
            <w:r>
              <w:rPr>
                <w:rFonts w:asciiTheme="minorHAnsi" w:eastAsiaTheme="minorHAnsi" w:hAnsiTheme="minorHAnsi" w:cstheme="minorBidi"/>
              </w:rPr>
              <w:t>below:-</w:t>
            </w:r>
          </w:p>
          <w:p w:rsidR="00A82BBD" w:rsidRDefault="00A82BBD" w:rsidP="007D789A">
            <w:pPr>
              <w:spacing w:after="0" w:line="240" w:lineRule="auto"/>
              <w:rPr>
                <w:rFonts w:asciiTheme="minorHAnsi" w:eastAsiaTheme="minorHAnsi" w:hAnsiTheme="minorHAnsi" w:cstheme="minorBidi"/>
              </w:rPr>
            </w:pPr>
          </w:p>
          <w:p w:rsidR="00C52563" w:rsidRPr="00C52563" w:rsidRDefault="00C52563" w:rsidP="007D789A">
            <w:pPr>
              <w:spacing w:after="0" w:line="240" w:lineRule="auto"/>
              <w:rPr>
                <w:rFonts w:asciiTheme="minorHAnsi" w:eastAsiaTheme="minorHAnsi" w:hAnsiTheme="minorHAnsi" w:cstheme="minorBidi"/>
              </w:rPr>
            </w:pPr>
            <w:r w:rsidRPr="00C52563">
              <w:rPr>
                <w:rFonts w:asciiTheme="minorHAnsi" w:eastAsiaTheme="minorHAnsi" w:hAnsiTheme="minorHAnsi" w:cstheme="minorBidi"/>
              </w:rPr>
              <w:t>RULE 403.1 CLIENTS’ FAILURE TO MEET OBLIGATIONS</w:t>
            </w:r>
            <w:r w:rsidR="00466D6C">
              <w:rPr>
                <w:rFonts w:asciiTheme="minorHAnsi" w:eastAsiaTheme="minorHAnsi" w:hAnsiTheme="minorHAnsi" w:cstheme="minorBidi"/>
              </w:rPr>
              <w:t xml:space="preserve"> (OLD RULE)</w:t>
            </w:r>
          </w:p>
          <w:p w:rsidR="00C52563" w:rsidRPr="00C52563" w:rsidRDefault="00C52563" w:rsidP="007D789A">
            <w:pPr>
              <w:spacing w:after="0" w:line="240" w:lineRule="auto"/>
              <w:rPr>
                <w:rFonts w:asciiTheme="minorHAnsi" w:eastAsiaTheme="minorHAnsi" w:hAnsiTheme="minorHAnsi" w:cstheme="minorBidi"/>
              </w:rPr>
            </w:pPr>
          </w:p>
          <w:p w:rsidR="00C52563" w:rsidRDefault="00C52563" w:rsidP="007D789A">
            <w:pPr>
              <w:spacing w:after="0" w:line="240" w:lineRule="auto"/>
              <w:rPr>
                <w:rFonts w:asciiTheme="minorHAnsi" w:eastAsiaTheme="minorHAnsi" w:hAnsiTheme="minorHAnsi" w:cstheme="minorBidi"/>
              </w:rPr>
            </w:pPr>
            <w:r w:rsidRPr="00C52563">
              <w:rPr>
                <w:rFonts w:asciiTheme="minorHAnsi" w:eastAsiaTheme="minorHAnsi" w:hAnsiTheme="minorHAnsi" w:cstheme="minorBidi"/>
              </w:rPr>
              <w:t>(1) Where a person (“alleged defaulter”) fails to meet a financial obligation with a Participating</w:t>
            </w:r>
            <w:r w:rsidR="00452C10">
              <w:rPr>
                <w:rFonts w:asciiTheme="minorHAnsi" w:eastAsiaTheme="minorHAnsi" w:hAnsiTheme="minorHAnsi" w:cstheme="minorBidi"/>
              </w:rPr>
              <w:t xml:space="preserve"> </w:t>
            </w:r>
            <w:r w:rsidRPr="00C52563">
              <w:rPr>
                <w:rFonts w:asciiTheme="minorHAnsi" w:eastAsiaTheme="minorHAnsi" w:hAnsiTheme="minorHAnsi" w:cstheme="minorBidi"/>
              </w:rPr>
              <w:t>Organisation of not less than Ringgit Malaysia Two Thousand (RM2,000) or any other</w:t>
            </w:r>
            <w:r>
              <w:rPr>
                <w:rFonts w:asciiTheme="minorHAnsi" w:eastAsiaTheme="minorHAnsi" w:hAnsiTheme="minorHAnsi" w:cstheme="minorBidi"/>
              </w:rPr>
              <w:t xml:space="preserve"> </w:t>
            </w:r>
            <w:r w:rsidRPr="00C52563">
              <w:rPr>
                <w:rFonts w:asciiTheme="minorHAnsi" w:eastAsiaTheme="minorHAnsi" w:hAnsiTheme="minorHAnsi" w:cstheme="minorBidi"/>
              </w:rPr>
              <w:t>obligation relating to or in respect of any transaction in securities or arising out of any matter</w:t>
            </w:r>
            <w:r w:rsidR="00452C10">
              <w:rPr>
                <w:rFonts w:asciiTheme="minorHAnsi" w:eastAsiaTheme="minorHAnsi" w:hAnsiTheme="minorHAnsi" w:cstheme="minorBidi"/>
              </w:rPr>
              <w:t xml:space="preserve"> </w:t>
            </w:r>
            <w:r w:rsidRPr="00C52563">
              <w:rPr>
                <w:rFonts w:asciiTheme="minorHAnsi" w:eastAsiaTheme="minorHAnsi" w:hAnsiTheme="minorHAnsi" w:cstheme="minorBidi"/>
              </w:rPr>
              <w:t>regulated by these Rules, the Participating Organisation may report to the Exchange such</w:t>
            </w:r>
            <w:r>
              <w:rPr>
                <w:rFonts w:asciiTheme="minorHAnsi" w:eastAsiaTheme="minorHAnsi" w:hAnsiTheme="minorHAnsi" w:cstheme="minorBidi"/>
              </w:rPr>
              <w:t xml:space="preserve"> </w:t>
            </w:r>
            <w:r w:rsidRPr="00C52563">
              <w:rPr>
                <w:rFonts w:asciiTheme="minorHAnsi" w:eastAsiaTheme="minorHAnsi" w:hAnsiTheme="minorHAnsi" w:cstheme="minorBidi"/>
              </w:rPr>
              <w:t>failure by the person. However, a Participating Organisation may only report such a person to</w:t>
            </w:r>
            <w:r w:rsidR="00452C10">
              <w:rPr>
                <w:rFonts w:asciiTheme="minorHAnsi" w:eastAsiaTheme="minorHAnsi" w:hAnsiTheme="minorHAnsi" w:cstheme="minorBidi"/>
              </w:rPr>
              <w:t xml:space="preserve"> </w:t>
            </w:r>
            <w:r w:rsidRPr="00C52563">
              <w:rPr>
                <w:rFonts w:asciiTheme="minorHAnsi" w:eastAsiaTheme="minorHAnsi" w:hAnsiTheme="minorHAnsi" w:cstheme="minorBidi"/>
              </w:rPr>
              <w:t>the Exchange if it has satisfied all requirements as stipulated in Schedule 5 of these Rules.</w:t>
            </w:r>
          </w:p>
          <w:p w:rsidR="00452C10" w:rsidRPr="00C52563" w:rsidRDefault="00452C10" w:rsidP="007D789A">
            <w:pPr>
              <w:spacing w:after="0" w:line="240" w:lineRule="auto"/>
              <w:rPr>
                <w:rFonts w:asciiTheme="minorHAnsi" w:eastAsiaTheme="minorHAnsi" w:hAnsiTheme="minorHAnsi" w:cstheme="minorBidi"/>
              </w:rPr>
            </w:pPr>
          </w:p>
          <w:p w:rsidR="00C52563" w:rsidRPr="00C52563" w:rsidRDefault="00C52563" w:rsidP="007D789A">
            <w:pPr>
              <w:spacing w:after="0" w:line="240" w:lineRule="auto"/>
              <w:rPr>
                <w:rFonts w:asciiTheme="minorHAnsi" w:eastAsiaTheme="minorHAnsi" w:hAnsiTheme="minorHAnsi" w:cstheme="minorBidi"/>
              </w:rPr>
            </w:pPr>
            <w:r w:rsidRPr="00C52563">
              <w:rPr>
                <w:rFonts w:asciiTheme="minorHAnsi" w:eastAsiaTheme="minorHAnsi" w:hAnsiTheme="minorHAnsi" w:cstheme="minorBidi"/>
              </w:rPr>
              <w:t>(2) Upon receipt of a report under Ru</w:t>
            </w:r>
            <w:r w:rsidR="001E4E43">
              <w:rPr>
                <w:rFonts w:asciiTheme="minorHAnsi" w:eastAsiaTheme="minorHAnsi" w:hAnsiTheme="minorHAnsi" w:cstheme="minorBidi"/>
              </w:rPr>
              <w:t>le 403.1(1), the Exchange will :-</w:t>
            </w:r>
          </w:p>
          <w:p w:rsidR="00C52563" w:rsidRPr="00C52563" w:rsidRDefault="00C52563" w:rsidP="007D789A">
            <w:pPr>
              <w:spacing w:after="0" w:line="240" w:lineRule="auto"/>
              <w:rPr>
                <w:rFonts w:asciiTheme="minorHAnsi" w:eastAsiaTheme="minorHAnsi" w:hAnsiTheme="minorHAnsi" w:cstheme="minorBidi"/>
              </w:rPr>
            </w:pPr>
          </w:p>
          <w:p w:rsidR="00C52563" w:rsidRDefault="00C52563" w:rsidP="007D789A">
            <w:pPr>
              <w:spacing w:after="0" w:line="240" w:lineRule="auto"/>
              <w:rPr>
                <w:rFonts w:asciiTheme="minorHAnsi" w:eastAsiaTheme="minorHAnsi" w:hAnsiTheme="minorHAnsi" w:cstheme="minorBidi"/>
              </w:rPr>
            </w:pPr>
            <w:r w:rsidRPr="00C52563">
              <w:rPr>
                <w:rFonts w:asciiTheme="minorHAnsi" w:eastAsiaTheme="minorHAnsi" w:hAnsiTheme="minorHAnsi" w:cstheme="minorBidi"/>
              </w:rPr>
              <w:t>(a) enquire into the report, and may call upon the</w:t>
            </w:r>
            <w:r w:rsidR="001E4E43">
              <w:rPr>
                <w:rFonts w:asciiTheme="minorHAnsi" w:eastAsiaTheme="minorHAnsi" w:hAnsiTheme="minorHAnsi" w:cstheme="minorBidi"/>
              </w:rPr>
              <w:t xml:space="preserve"> Participating Organisation to :</w:t>
            </w:r>
          </w:p>
          <w:p w:rsidR="009F0927" w:rsidRPr="00C52563" w:rsidRDefault="009F0927" w:rsidP="007D789A">
            <w:pPr>
              <w:spacing w:after="0" w:line="240" w:lineRule="auto"/>
              <w:rPr>
                <w:rFonts w:asciiTheme="minorHAnsi" w:eastAsiaTheme="minorHAnsi" w:hAnsiTheme="minorHAnsi" w:cstheme="minorBidi"/>
              </w:rPr>
            </w:pPr>
          </w:p>
          <w:p w:rsidR="00C52563" w:rsidRDefault="00C52563" w:rsidP="007D789A">
            <w:pPr>
              <w:spacing w:after="0" w:line="240" w:lineRule="auto"/>
              <w:ind w:left="284"/>
              <w:rPr>
                <w:rFonts w:asciiTheme="minorHAnsi" w:eastAsiaTheme="minorHAnsi" w:hAnsiTheme="minorHAnsi" w:cstheme="minorBidi"/>
              </w:rPr>
            </w:pPr>
            <w:r w:rsidRPr="00C52563">
              <w:rPr>
                <w:rFonts w:asciiTheme="minorHAnsi" w:eastAsiaTheme="minorHAnsi" w:hAnsiTheme="minorHAnsi" w:cstheme="minorBidi"/>
              </w:rPr>
              <w:t>(i) furnish in writing full particulars of any open any information of which the Participating Organisation transaction with the alleged</w:t>
            </w:r>
            <w:r>
              <w:rPr>
                <w:rFonts w:asciiTheme="minorHAnsi" w:eastAsiaTheme="minorHAnsi" w:hAnsiTheme="minorHAnsi" w:cstheme="minorBidi"/>
              </w:rPr>
              <w:t xml:space="preserve"> </w:t>
            </w:r>
            <w:r w:rsidRPr="00C52563">
              <w:rPr>
                <w:rFonts w:asciiTheme="minorHAnsi" w:eastAsiaTheme="minorHAnsi" w:hAnsiTheme="minorHAnsi" w:cstheme="minorBidi"/>
              </w:rPr>
              <w:t>defaulter;</w:t>
            </w:r>
          </w:p>
          <w:p w:rsidR="009F0927" w:rsidRPr="00C52563" w:rsidRDefault="009F0927" w:rsidP="007D789A">
            <w:pPr>
              <w:spacing w:after="0" w:line="240" w:lineRule="auto"/>
              <w:ind w:left="284"/>
              <w:rPr>
                <w:rFonts w:asciiTheme="minorHAnsi" w:eastAsiaTheme="minorHAnsi" w:hAnsiTheme="minorHAnsi" w:cstheme="minorBidi"/>
              </w:rPr>
            </w:pPr>
          </w:p>
          <w:p w:rsidR="00C52563" w:rsidRDefault="00C52563" w:rsidP="007D789A">
            <w:pPr>
              <w:spacing w:after="0" w:line="240" w:lineRule="auto"/>
              <w:ind w:left="284"/>
              <w:rPr>
                <w:rFonts w:asciiTheme="minorHAnsi" w:eastAsiaTheme="minorHAnsi" w:hAnsiTheme="minorHAnsi" w:cstheme="minorBidi"/>
              </w:rPr>
            </w:pPr>
            <w:r w:rsidRPr="00C52563">
              <w:rPr>
                <w:rFonts w:asciiTheme="minorHAnsi" w:eastAsiaTheme="minorHAnsi" w:hAnsiTheme="minorHAnsi" w:cstheme="minorBidi"/>
              </w:rPr>
              <w:t>(ii) disclose may have</w:t>
            </w:r>
            <w:r>
              <w:rPr>
                <w:rFonts w:asciiTheme="minorHAnsi" w:eastAsiaTheme="minorHAnsi" w:hAnsiTheme="minorHAnsi" w:cstheme="minorBidi"/>
              </w:rPr>
              <w:t xml:space="preserve"> </w:t>
            </w:r>
            <w:r w:rsidRPr="00C52563">
              <w:rPr>
                <w:rFonts w:asciiTheme="minorHAnsi" w:eastAsiaTheme="minorHAnsi" w:hAnsiTheme="minorHAnsi" w:cstheme="minorBidi"/>
              </w:rPr>
              <w:t>cognisance in relation thereto;</w:t>
            </w:r>
          </w:p>
          <w:p w:rsidR="009F0927" w:rsidRPr="00C52563" w:rsidRDefault="009F0927" w:rsidP="007D789A">
            <w:pPr>
              <w:spacing w:after="0" w:line="240" w:lineRule="auto"/>
              <w:ind w:left="284"/>
              <w:rPr>
                <w:rFonts w:asciiTheme="minorHAnsi" w:eastAsiaTheme="minorHAnsi" w:hAnsiTheme="minorHAnsi" w:cstheme="minorBidi"/>
              </w:rPr>
            </w:pPr>
          </w:p>
          <w:p w:rsidR="00C52563" w:rsidRPr="00C52563" w:rsidRDefault="00C52563" w:rsidP="007D789A">
            <w:pPr>
              <w:spacing w:after="0" w:line="240" w:lineRule="auto"/>
              <w:ind w:left="284"/>
              <w:rPr>
                <w:rFonts w:asciiTheme="minorHAnsi" w:eastAsiaTheme="minorHAnsi" w:hAnsiTheme="minorHAnsi" w:cstheme="minorBidi"/>
              </w:rPr>
            </w:pPr>
            <w:r w:rsidRPr="00C52563">
              <w:rPr>
                <w:rFonts w:asciiTheme="minorHAnsi" w:eastAsiaTheme="minorHAnsi" w:hAnsiTheme="minorHAnsi" w:cstheme="minorBidi"/>
              </w:rPr>
              <w:t>(iii) provide o submit any evidence in its possession bearing on the transaction in</w:t>
            </w:r>
            <w:r>
              <w:rPr>
                <w:rFonts w:asciiTheme="minorHAnsi" w:eastAsiaTheme="minorHAnsi" w:hAnsiTheme="minorHAnsi" w:cstheme="minorBidi"/>
              </w:rPr>
              <w:t xml:space="preserve"> </w:t>
            </w:r>
            <w:r w:rsidRPr="00C52563">
              <w:rPr>
                <w:rFonts w:asciiTheme="minorHAnsi" w:eastAsiaTheme="minorHAnsi" w:hAnsiTheme="minorHAnsi" w:cstheme="minorBidi"/>
              </w:rPr>
              <w:t>question; and</w:t>
            </w:r>
          </w:p>
          <w:p w:rsidR="00C52563" w:rsidRPr="00C52563" w:rsidRDefault="00C52563" w:rsidP="007D789A">
            <w:pPr>
              <w:spacing w:after="0" w:line="240" w:lineRule="auto"/>
              <w:rPr>
                <w:rFonts w:asciiTheme="minorHAnsi" w:eastAsiaTheme="minorHAnsi" w:hAnsiTheme="minorHAnsi" w:cstheme="minorBidi"/>
              </w:rPr>
            </w:pPr>
          </w:p>
          <w:p w:rsidR="00C52563" w:rsidRDefault="00C52563" w:rsidP="007D789A">
            <w:pPr>
              <w:spacing w:after="0" w:line="240" w:lineRule="auto"/>
              <w:rPr>
                <w:rFonts w:asciiTheme="minorHAnsi" w:eastAsiaTheme="minorHAnsi" w:hAnsiTheme="minorHAnsi" w:cstheme="minorBidi"/>
              </w:rPr>
            </w:pPr>
            <w:r w:rsidRPr="00C52563">
              <w:rPr>
                <w:rFonts w:asciiTheme="minorHAnsi" w:eastAsiaTheme="minorHAnsi" w:hAnsiTheme="minorHAnsi" w:cstheme="minorBidi"/>
              </w:rPr>
              <w:t xml:space="preserve">(b) call upon the alleged defaulter to </w:t>
            </w:r>
            <w:r w:rsidR="001E4E43">
              <w:rPr>
                <w:rFonts w:asciiTheme="minorHAnsi" w:eastAsiaTheme="minorHAnsi" w:hAnsiTheme="minorHAnsi" w:cstheme="minorBidi"/>
              </w:rPr>
              <w:t>:</w:t>
            </w:r>
          </w:p>
          <w:p w:rsidR="009F0927" w:rsidRPr="00C52563" w:rsidRDefault="009F0927" w:rsidP="007D789A">
            <w:pPr>
              <w:spacing w:after="0" w:line="240" w:lineRule="auto"/>
              <w:rPr>
                <w:rFonts w:asciiTheme="minorHAnsi" w:eastAsiaTheme="minorHAnsi" w:hAnsiTheme="minorHAnsi" w:cstheme="minorBidi"/>
              </w:rPr>
            </w:pPr>
          </w:p>
          <w:p w:rsidR="00C52563" w:rsidRDefault="00C52563" w:rsidP="007D789A">
            <w:pPr>
              <w:spacing w:after="0" w:line="240" w:lineRule="auto"/>
              <w:ind w:left="284"/>
              <w:rPr>
                <w:rFonts w:asciiTheme="minorHAnsi" w:eastAsiaTheme="minorHAnsi" w:hAnsiTheme="minorHAnsi" w:cstheme="minorBidi"/>
              </w:rPr>
            </w:pPr>
            <w:r w:rsidRPr="00C52563">
              <w:rPr>
                <w:rFonts w:asciiTheme="minorHAnsi" w:eastAsiaTheme="minorHAnsi" w:hAnsiTheme="minorHAnsi" w:cstheme="minorBidi"/>
              </w:rPr>
              <w:t>(i) furnish in writing full particulars of any open transaction with the Participating</w:t>
            </w:r>
            <w:r>
              <w:rPr>
                <w:rFonts w:asciiTheme="minorHAnsi" w:eastAsiaTheme="minorHAnsi" w:hAnsiTheme="minorHAnsi" w:cstheme="minorBidi"/>
              </w:rPr>
              <w:t xml:space="preserve"> </w:t>
            </w:r>
            <w:r w:rsidRPr="00C52563">
              <w:rPr>
                <w:rFonts w:asciiTheme="minorHAnsi" w:eastAsiaTheme="minorHAnsi" w:hAnsiTheme="minorHAnsi" w:cstheme="minorBidi"/>
              </w:rPr>
              <w:t>Organisation in respect of the transaction in question or request the alleged</w:t>
            </w:r>
            <w:r>
              <w:rPr>
                <w:rFonts w:asciiTheme="minorHAnsi" w:eastAsiaTheme="minorHAnsi" w:hAnsiTheme="minorHAnsi" w:cstheme="minorBidi"/>
              </w:rPr>
              <w:t xml:space="preserve"> </w:t>
            </w:r>
            <w:r w:rsidRPr="00C52563">
              <w:rPr>
                <w:rFonts w:asciiTheme="minorHAnsi" w:eastAsiaTheme="minorHAnsi" w:hAnsiTheme="minorHAnsi" w:cstheme="minorBidi"/>
              </w:rPr>
              <w:t>defaulter to be present before an authorised officer of the Exchange;</w:t>
            </w:r>
          </w:p>
          <w:p w:rsidR="009F0927" w:rsidRPr="00C52563" w:rsidRDefault="009F0927" w:rsidP="007D789A">
            <w:pPr>
              <w:spacing w:after="0" w:line="240" w:lineRule="auto"/>
              <w:ind w:left="284"/>
              <w:rPr>
                <w:rFonts w:asciiTheme="minorHAnsi" w:eastAsiaTheme="minorHAnsi" w:hAnsiTheme="minorHAnsi" w:cstheme="minorBidi"/>
              </w:rPr>
            </w:pPr>
          </w:p>
          <w:p w:rsidR="00C52563" w:rsidRPr="00C52563" w:rsidRDefault="00C52563" w:rsidP="007D789A">
            <w:pPr>
              <w:spacing w:after="0" w:line="240" w:lineRule="auto"/>
              <w:ind w:left="284"/>
              <w:rPr>
                <w:rFonts w:asciiTheme="minorHAnsi" w:eastAsiaTheme="minorHAnsi" w:hAnsiTheme="minorHAnsi" w:cstheme="minorBidi"/>
              </w:rPr>
            </w:pPr>
            <w:r w:rsidRPr="00C52563">
              <w:rPr>
                <w:rFonts w:asciiTheme="minorHAnsi" w:eastAsiaTheme="minorHAnsi" w:hAnsiTheme="minorHAnsi" w:cstheme="minorBidi"/>
              </w:rPr>
              <w:t>(ii) provide or submit any evidence in his possession bearing on the transaction</w:t>
            </w:r>
            <w:r>
              <w:rPr>
                <w:rFonts w:asciiTheme="minorHAnsi" w:eastAsiaTheme="minorHAnsi" w:hAnsiTheme="minorHAnsi" w:cstheme="minorBidi"/>
              </w:rPr>
              <w:t xml:space="preserve"> </w:t>
            </w:r>
            <w:r w:rsidRPr="00C52563">
              <w:rPr>
                <w:rFonts w:asciiTheme="minorHAnsi" w:eastAsiaTheme="minorHAnsi" w:hAnsiTheme="minorHAnsi" w:cstheme="minorBidi"/>
              </w:rPr>
              <w:t>in question.</w:t>
            </w:r>
          </w:p>
          <w:p w:rsidR="00C52563" w:rsidRPr="00C52563" w:rsidRDefault="00C52563" w:rsidP="007D789A">
            <w:pPr>
              <w:spacing w:after="0" w:line="240" w:lineRule="auto"/>
              <w:rPr>
                <w:rFonts w:asciiTheme="minorHAnsi" w:eastAsiaTheme="minorHAnsi" w:hAnsiTheme="minorHAnsi" w:cstheme="minorBidi"/>
              </w:rPr>
            </w:pPr>
          </w:p>
          <w:p w:rsidR="00C52563" w:rsidRDefault="00C52563" w:rsidP="007D789A">
            <w:pPr>
              <w:spacing w:after="0" w:line="240" w:lineRule="auto"/>
              <w:rPr>
                <w:rFonts w:asciiTheme="minorHAnsi" w:eastAsiaTheme="minorHAnsi" w:hAnsiTheme="minorHAnsi" w:cstheme="minorBidi"/>
              </w:rPr>
            </w:pPr>
            <w:r w:rsidRPr="00C52563">
              <w:rPr>
                <w:rFonts w:asciiTheme="minorHAnsi" w:eastAsiaTheme="minorHAnsi" w:hAnsiTheme="minorHAnsi" w:cstheme="minorBidi"/>
              </w:rPr>
              <w:t>(3) Where the Exchange is satisfied that a default has been made or committed by the alleged</w:t>
            </w:r>
            <w:r w:rsidR="009F0927">
              <w:rPr>
                <w:rFonts w:asciiTheme="minorHAnsi" w:eastAsiaTheme="minorHAnsi" w:hAnsiTheme="minorHAnsi" w:cstheme="minorBidi"/>
              </w:rPr>
              <w:t xml:space="preserve"> </w:t>
            </w:r>
            <w:r w:rsidRPr="00C52563">
              <w:rPr>
                <w:rFonts w:asciiTheme="minorHAnsi" w:eastAsiaTheme="minorHAnsi" w:hAnsiTheme="minorHAnsi" w:cstheme="minorBidi"/>
              </w:rPr>
              <w:t>defaulter (“defaulter”), the Exchange shall, unless a satisfactory arrangement has been made</w:t>
            </w:r>
            <w:r w:rsidR="009F0927">
              <w:rPr>
                <w:rFonts w:asciiTheme="minorHAnsi" w:eastAsiaTheme="minorHAnsi" w:hAnsiTheme="minorHAnsi" w:cstheme="minorBidi"/>
              </w:rPr>
              <w:t xml:space="preserve"> </w:t>
            </w:r>
            <w:r w:rsidRPr="00C52563">
              <w:rPr>
                <w:rFonts w:asciiTheme="minorHAnsi" w:eastAsiaTheme="minorHAnsi" w:hAnsiTheme="minorHAnsi" w:cstheme="minorBidi"/>
              </w:rPr>
              <w:t>between the defaulter and the Participating Organisation and the same is reported to the</w:t>
            </w:r>
            <w:r w:rsidR="009F0927">
              <w:rPr>
                <w:rFonts w:asciiTheme="minorHAnsi" w:eastAsiaTheme="minorHAnsi" w:hAnsiTheme="minorHAnsi" w:cstheme="minorBidi"/>
              </w:rPr>
              <w:t xml:space="preserve"> </w:t>
            </w:r>
            <w:r w:rsidRPr="00C52563">
              <w:rPr>
                <w:rFonts w:asciiTheme="minorHAnsi" w:eastAsiaTheme="minorHAnsi" w:hAnsiTheme="minorHAnsi" w:cstheme="minorBidi"/>
              </w:rPr>
              <w:t xml:space="preserve">Exchange promptly </w:t>
            </w:r>
            <w:r w:rsidR="001E4E43">
              <w:rPr>
                <w:rFonts w:asciiTheme="minorHAnsi" w:eastAsiaTheme="minorHAnsi" w:hAnsiTheme="minorHAnsi" w:cstheme="minorBidi"/>
              </w:rPr>
              <w:t>:-</w:t>
            </w:r>
          </w:p>
          <w:p w:rsidR="009F0927" w:rsidRPr="00C52563" w:rsidRDefault="009F0927" w:rsidP="007D789A">
            <w:pPr>
              <w:spacing w:after="0" w:line="240" w:lineRule="auto"/>
              <w:rPr>
                <w:rFonts w:asciiTheme="minorHAnsi" w:eastAsiaTheme="minorHAnsi" w:hAnsiTheme="minorHAnsi" w:cstheme="minorBidi"/>
              </w:rPr>
            </w:pPr>
          </w:p>
          <w:p w:rsidR="00C52563" w:rsidRDefault="00C52563" w:rsidP="007D789A">
            <w:pPr>
              <w:spacing w:after="0" w:line="240" w:lineRule="auto"/>
              <w:rPr>
                <w:rFonts w:asciiTheme="minorHAnsi" w:eastAsiaTheme="minorHAnsi" w:hAnsiTheme="minorHAnsi" w:cstheme="minorBidi"/>
              </w:rPr>
            </w:pPr>
            <w:r w:rsidRPr="00C52563">
              <w:rPr>
                <w:rFonts w:asciiTheme="minorHAnsi" w:eastAsiaTheme="minorHAnsi" w:hAnsiTheme="minorHAnsi" w:cstheme="minorBidi"/>
              </w:rPr>
              <w:t>(a) cause him to be posted as a “defaulter” in the relevant defaulters list maintained by</w:t>
            </w:r>
            <w:r w:rsidR="009F0927">
              <w:rPr>
                <w:rFonts w:asciiTheme="minorHAnsi" w:eastAsiaTheme="minorHAnsi" w:hAnsiTheme="minorHAnsi" w:cstheme="minorBidi"/>
              </w:rPr>
              <w:t xml:space="preserve"> </w:t>
            </w:r>
            <w:r w:rsidRPr="00C52563">
              <w:rPr>
                <w:rFonts w:asciiTheme="minorHAnsi" w:eastAsiaTheme="minorHAnsi" w:hAnsiTheme="minorHAnsi" w:cstheme="minorBidi"/>
              </w:rPr>
              <w:t>the Exchange; and</w:t>
            </w:r>
          </w:p>
          <w:p w:rsidR="009F0927" w:rsidRPr="00C52563" w:rsidRDefault="009F0927" w:rsidP="007D789A">
            <w:pPr>
              <w:spacing w:after="0" w:line="240" w:lineRule="auto"/>
              <w:rPr>
                <w:rFonts w:asciiTheme="minorHAnsi" w:eastAsiaTheme="minorHAnsi" w:hAnsiTheme="minorHAnsi" w:cstheme="minorBidi"/>
              </w:rPr>
            </w:pPr>
          </w:p>
          <w:p w:rsidR="00C52563" w:rsidRPr="00C52563" w:rsidRDefault="00C52563" w:rsidP="007D789A">
            <w:pPr>
              <w:spacing w:after="0" w:line="240" w:lineRule="auto"/>
              <w:rPr>
                <w:rFonts w:asciiTheme="minorHAnsi" w:eastAsiaTheme="minorHAnsi" w:hAnsiTheme="minorHAnsi" w:cstheme="minorBidi"/>
              </w:rPr>
            </w:pPr>
            <w:r w:rsidRPr="00C52563">
              <w:rPr>
                <w:rFonts w:asciiTheme="minorHAnsi" w:eastAsiaTheme="minorHAnsi" w:hAnsiTheme="minorHAnsi" w:cstheme="minorBidi"/>
              </w:rPr>
              <w:t>(b) cause such matter to be notified to all Participating Organisations accordingly.</w:t>
            </w:r>
          </w:p>
          <w:p w:rsidR="00C52563" w:rsidRPr="00C52563" w:rsidRDefault="00C52563" w:rsidP="007D789A">
            <w:pPr>
              <w:spacing w:after="0" w:line="240" w:lineRule="auto"/>
              <w:rPr>
                <w:rFonts w:asciiTheme="minorHAnsi" w:eastAsiaTheme="minorHAnsi" w:hAnsiTheme="minorHAnsi" w:cstheme="minorBidi"/>
              </w:rPr>
            </w:pPr>
          </w:p>
          <w:p w:rsidR="00C52563" w:rsidRDefault="00C52563" w:rsidP="007D789A">
            <w:pPr>
              <w:spacing w:after="0" w:line="240" w:lineRule="auto"/>
              <w:rPr>
                <w:rFonts w:asciiTheme="minorHAnsi" w:eastAsiaTheme="minorHAnsi" w:hAnsiTheme="minorHAnsi" w:cstheme="minorBidi"/>
              </w:rPr>
            </w:pPr>
            <w:r w:rsidRPr="00C52563">
              <w:rPr>
                <w:rFonts w:asciiTheme="minorHAnsi" w:eastAsiaTheme="minorHAnsi" w:hAnsiTheme="minorHAnsi" w:cstheme="minorBidi"/>
              </w:rPr>
              <w:t>(4) A Participating Organisation shall not transact business for any person who has been notified</w:t>
            </w:r>
            <w:r w:rsidR="009F0927">
              <w:rPr>
                <w:rFonts w:asciiTheme="minorHAnsi" w:eastAsiaTheme="minorHAnsi" w:hAnsiTheme="minorHAnsi" w:cstheme="minorBidi"/>
              </w:rPr>
              <w:t xml:space="preserve"> </w:t>
            </w:r>
            <w:r w:rsidRPr="00C52563">
              <w:rPr>
                <w:rFonts w:asciiTheme="minorHAnsi" w:eastAsiaTheme="minorHAnsi" w:hAnsiTheme="minorHAnsi" w:cstheme="minorBidi"/>
              </w:rPr>
              <w:t>to the Participating Organisation as a defaulter under Rule 403.1(3) save and except that a</w:t>
            </w:r>
            <w:r w:rsidR="009F0927">
              <w:rPr>
                <w:rFonts w:asciiTheme="minorHAnsi" w:eastAsiaTheme="minorHAnsi" w:hAnsiTheme="minorHAnsi" w:cstheme="minorBidi"/>
              </w:rPr>
              <w:t xml:space="preserve"> </w:t>
            </w:r>
            <w:r w:rsidRPr="00C52563">
              <w:rPr>
                <w:rFonts w:asciiTheme="minorHAnsi" w:eastAsiaTheme="minorHAnsi" w:hAnsiTheme="minorHAnsi" w:cstheme="minorBidi"/>
              </w:rPr>
              <w:t>Participating Organisation may proceed to sell securities held by the defaulter in accounts held</w:t>
            </w:r>
            <w:r w:rsidR="009F0927">
              <w:rPr>
                <w:rFonts w:asciiTheme="minorHAnsi" w:eastAsiaTheme="minorHAnsi" w:hAnsiTheme="minorHAnsi" w:cstheme="minorBidi"/>
              </w:rPr>
              <w:t xml:space="preserve"> </w:t>
            </w:r>
            <w:r w:rsidRPr="00C52563">
              <w:rPr>
                <w:rFonts w:asciiTheme="minorHAnsi" w:eastAsiaTheme="minorHAnsi" w:hAnsiTheme="minorHAnsi" w:cstheme="minorBidi"/>
              </w:rPr>
              <w:t>with the Participating Organisation solely for the purpose of reducing a financial obligation or</w:t>
            </w:r>
            <w:r w:rsidR="009F0927">
              <w:rPr>
                <w:rFonts w:asciiTheme="minorHAnsi" w:eastAsiaTheme="minorHAnsi" w:hAnsiTheme="minorHAnsi" w:cstheme="minorBidi"/>
              </w:rPr>
              <w:t xml:space="preserve"> </w:t>
            </w:r>
            <w:r w:rsidRPr="00C52563">
              <w:rPr>
                <w:rFonts w:asciiTheme="minorHAnsi" w:eastAsiaTheme="minorHAnsi" w:hAnsiTheme="minorHAnsi" w:cstheme="minorBidi"/>
              </w:rPr>
              <w:t>any other obligation relating to or in respect of any transaction in securities arising out of any</w:t>
            </w:r>
            <w:r w:rsidR="009F0927">
              <w:rPr>
                <w:rFonts w:asciiTheme="minorHAnsi" w:eastAsiaTheme="minorHAnsi" w:hAnsiTheme="minorHAnsi" w:cstheme="minorBidi"/>
              </w:rPr>
              <w:t xml:space="preserve"> </w:t>
            </w:r>
            <w:r w:rsidR="00452C10">
              <w:rPr>
                <w:rFonts w:asciiTheme="minorHAnsi" w:eastAsiaTheme="minorHAnsi" w:hAnsiTheme="minorHAnsi" w:cstheme="minorBidi"/>
              </w:rPr>
              <w:t>m</w:t>
            </w:r>
            <w:r w:rsidRPr="00C52563">
              <w:rPr>
                <w:rFonts w:asciiTheme="minorHAnsi" w:eastAsiaTheme="minorHAnsi" w:hAnsiTheme="minorHAnsi" w:cstheme="minorBidi"/>
              </w:rPr>
              <w:t>atter regulated by these Rules in relation to t</w:t>
            </w:r>
            <w:r w:rsidR="001E4E43">
              <w:rPr>
                <w:rFonts w:asciiTheme="minorHAnsi" w:eastAsiaTheme="minorHAnsi" w:hAnsiTheme="minorHAnsi" w:cstheme="minorBidi"/>
              </w:rPr>
              <w:t>he defaulter and provided that :-</w:t>
            </w:r>
          </w:p>
          <w:p w:rsidR="009F0927" w:rsidRPr="00C52563" w:rsidRDefault="009F0927" w:rsidP="007D789A">
            <w:pPr>
              <w:spacing w:after="0" w:line="240" w:lineRule="auto"/>
              <w:rPr>
                <w:rFonts w:asciiTheme="minorHAnsi" w:eastAsiaTheme="minorHAnsi" w:hAnsiTheme="minorHAnsi" w:cstheme="minorBidi"/>
              </w:rPr>
            </w:pPr>
          </w:p>
          <w:p w:rsidR="00C52563" w:rsidRDefault="00C52563" w:rsidP="007D789A">
            <w:pPr>
              <w:spacing w:after="0" w:line="240" w:lineRule="auto"/>
              <w:rPr>
                <w:rFonts w:asciiTheme="minorHAnsi" w:eastAsiaTheme="minorHAnsi" w:hAnsiTheme="minorHAnsi" w:cstheme="minorBidi"/>
              </w:rPr>
            </w:pPr>
            <w:r w:rsidRPr="00C52563">
              <w:rPr>
                <w:rFonts w:asciiTheme="minorHAnsi" w:eastAsiaTheme="minorHAnsi" w:hAnsiTheme="minorHAnsi" w:cstheme="minorBidi"/>
              </w:rPr>
              <w:t>(a) there is no dispute by any party with respect to the outstanding obligation aforesaid;</w:t>
            </w:r>
          </w:p>
          <w:p w:rsidR="009F0927" w:rsidRPr="00C52563" w:rsidRDefault="009F0927" w:rsidP="007D789A">
            <w:pPr>
              <w:spacing w:after="0" w:line="240" w:lineRule="auto"/>
              <w:rPr>
                <w:rFonts w:asciiTheme="minorHAnsi" w:eastAsiaTheme="minorHAnsi" w:hAnsiTheme="minorHAnsi" w:cstheme="minorBidi"/>
              </w:rPr>
            </w:pPr>
          </w:p>
          <w:p w:rsidR="00C52563" w:rsidRDefault="00C52563" w:rsidP="007D789A">
            <w:pPr>
              <w:spacing w:after="0" w:line="240" w:lineRule="auto"/>
              <w:rPr>
                <w:rFonts w:asciiTheme="minorHAnsi" w:eastAsiaTheme="minorHAnsi" w:hAnsiTheme="minorHAnsi" w:cstheme="minorBidi"/>
              </w:rPr>
            </w:pPr>
            <w:r w:rsidRPr="00C52563">
              <w:rPr>
                <w:rFonts w:asciiTheme="minorHAnsi" w:eastAsiaTheme="minorHAnsi" w:hAnsiTheme="minorHAnsi" w:cstheme="minorBidi"/>
              </w:rPr>
              <w:t>(b) the Participating Organisation has the contractual right to sell the securities and the</w:t>
            </w:r>
            <w:r w:rsidR="009F0927">
              <w:rPr>
                <w:rFonts w:asciiTheme="minorHAnsi" w:eastAsiaTheme="minorHAnsi" w:hAnsiTheme="minorHAnsi" w:cstheme="minorBidi"/>
              </w:rPr>
              <w:t xml:space="preserve"> </w:t>
            </w:r>
            <w:r w:rsidRPr="00C52563">
              <w:rPr>
                <w:rFonts w:asciiTheme="minorHAnsi" w:eastAsiaTheme="minorHAnsi" w:hAnsiTheme="minorHAnsi" w:cstheme="minorBidi"/>
              </w:rPr>
              <w:t>defaulter being given prior reasonable notice;</w:t>
            </w:r>
          </w:p>
          <w:p w:rsidR="009F0927" w:rsidRPr="00C52563" w:rsidRDefault="009F0927" w:rsidP="007D789A">
            <w:pPr>
              <w:spacing w:after="0" w:line="240" w:lineRule="auto"/>
              <w:rPr>
                <w:rFonts w:asciiTheme="minorHAnsi" w:eastAsiaTheme="minorHAnsi" w:hAnsiTheme="minorHAnsi" w:cstheme="minorBidi"/>
              </w:rPr>
            </w:pPr>
          </w:p>
          <w:p w:rsidR="00C52563" w:rsidRDefault="00C52563" w:rsidP="007D789A">
            <w:pPr>
              <w:spacing w:after="0" w:line="240" w:lineRule="auto"/>
              <w:rPr>
                <w:rFonts w:asciiTheme="minorHAnsi" w:eastAsiaTheme="minorHAnsi" w:hAnsiTheme="minorHAnsi" w:cstheme="minorBidi"/>
              </w:rPr>
            </w:pPr>
            <w:r w:rsidRPr="00C52563">
              <w:rPr>
                <w:rFonts w:asciiTheme="minorHAnsi" w:eastAsiaTheme="minorHAnsi" w:hAnsiTheme="minorHAnsi" w:cstheme="minorBidi"/>
              </w:rPr>
              <w:t>(c) the proceeds from the sale of the securities shall be fully utilised towards reducing the</w:t>
            </w:r>
            <w:r w:rsidR="009F0927">
              <w:rPr>
                <w:rFonts w:asciiTheme="minorHAnsi" w:eastAsiaTheme="minorHAnsi" w:hAnsiTheme="minorHAnsi" w:cstheme="minorBidi"/>
              </w:rPr>
              <w:t xml:space="preserve"> </w:t>
            </w:r>
            <w:r w:rsidRPr="00C52563">
              <w:rPr>
                <w:rFonts w:asciiTheme="minorHAnsi" w:eastAsiaTheme="minorHAnsi" w:hAnsiTheme="minorHAnsi" w:cstheme="minorBidi"/>
              </w:rPr>
              <w:t>outstanding obligation aforesaid; and</w:t>
            </w:r>
          </w:p>
          <w:p w:rsidR="009F0927" w:rsidRPr="00C52563" w:rsidRDefault="009F0927" w:rsidP="007D789A">
            <w:pPr>
              <w:spacing w:after="0" w:line="240" w:lineRule="auto"/>
              <w:rPr>
                <w:rFonts w:asciiTheme="minorHAnsi" w:eastAsiaTheme="minorHAnsi" w:hAnsiTheme="minorHAnsi" w:cstheme="minorBidi"/>
              </w:rPr>
            </w:pPr>
          </w:p>
          <w:p w:rsidR="00C52563" w:rsidRPr="00C52563" w:rsidRDefault="00C52563" w:rsidP="007D789A">
            <w:pPr>
              <w:spacing w:after="0" w:line="240" w:lineRule="auto"/>
              <w:rPr>
                <w:rFonts w:asciiTheme="minorHAnsi" w:eastAsiaTheme="minorHAnsi" w:hAnsiTheme="minorHAnsi" w:cstheme="minorBidi"/>
              </w:rPr>
            </w:pPr>
            <w:r w:rsidRPr="00C52563">
              <w:rPr>
                <w:rFonts w:asciiTheme="minorHAnsi" w:eastAsiaTheme="minorHAnsi" w:hAnsiTheme="minorHAnsi" w:cstheme="minorBidi"/>
              </w:rPr>
              <w:t>(d) the mark to market value (as defined in Rule 1105) of the securities sold in the</w:t>
            </w:r>
            <w:r w:rsidR="009F0927">
              <w:rPr>
                <w:rFonts w:asciiTheme="minorHAnsi" w:eastAsiaTheme="minorHAnsi" w:hAnsiTheme="minorHAnsi" w:cstheme="minorBidi"/>
              </w:rPr>
              <w:t xml:space="preserve"> </w:t>
            </w:r>
            <w:r w:rsidRPr="00C52563">
              <w:rPr>
                <w:rFonts w:asciiTheme="minorHAnsi" w:eastAsiaTheme="minorHAnsi" w:hAnsiTheme="minorHAnsi" w:cstheme="minorBidi"/>
              </w:rPr>
              <w:t>manner herein shall not exceed the outstanding obligation aforesaid.</w:t>
            </w:r>
          </w:p>
          <w:p w:rsidR="00C52563" w:rsidRPr="00C52563" w:rsidRDefault="00C52563" w:rsidP="007D789A">
            <w:pPr>
              <w:spacing w:after="0" w:line="240" w:lineRule="auto"/>
              <w:rPr>
                <w:rFonts w:asciiTheme="minorHAnsi" w:eastAsiaTheme="minorHAnsi" w:hAnsiTheme="minorHAnsi" w:cstheme="minorBidi"/>
              </w:rPr>
            </w:pPr>
          </w:p>
          <w:p w:rsidR="00C52563" w:rsidRPr="00C52563" w:rsidRDefault="00C52563" w:rsidP="007D789A">
            <w:pPr>
              <w:spacing w:after="0" w:line="240" w:lineRule="auto"/>
              <w:rPr>
                <w:rFonts w:asciiTheme="minorHAnsi" w:eastAsiaTheme="minorHAnsi" w:hAnsiTheme="minorHAnsi" w:cstheme="minorBidi"/>
              </w:rPr>
            </w:pPr>
            <w:r w:rsidRPr="00C52563">
              <w:rPr>
                <w:rFonts w:asciiTheme="minorHAnsi" w:eastAsiaTheme="minorHAnsi" w:hAnsiTheme="minorHAnsi" w:cstheme="minorBidi"/>
              </w:rPr>
              <w:t>(4A) A Participating Organisation carrying out any sale of securities held by a defaulter in accounts</w:t>
            </w:r>
            <w:r w:rsidR="009F0927">
              <w:rPr>
                <w:rFonts w:asciiTheme="minorHAnsi" w:eastAsiaTheme="minorHAnsi" w:hAnsiTheme="minorHAnsi" w:cstheme="minorBidi"/>
              </w:rPr>
              <w:t xml:space="preserve"> </w:t>
            </w:r>
            <w:r w:rsidRPr="00C52563">
              <w:rPr>
                <w:rFonts w:asciiTheme="minorHAnsi" w:eastAsiaTheme="minorHAnsi" w:hAnsiTheme="minorHAnsi" w:cstheme="minorBidi"/>
              </w:rPr>
              <w:t>held with the Participating Organisation pursuant to Rule 403.1(4) shall indemnify and keep</w:t>
            </w:r>
            <w:r w:rsidR="009F0927">
              <w:rPr>
                <w:rFonts w:asciiTheme="minorHAnsi" w:eastAsiaTheme="minorHAnsi" w:hAnsiTheme="minorHAnsi" w:cstheme="minorBidi"/>
              </w:rPr>
              <w:t xml:space="preserve"> </w:t>
            </w:r>
            <w:r w:rsidRPr="00C52563">
              <w:rPr>
                <w:rFonts w:asciiTheme="minorHAnsi" w:eastAsiaTheme="minorHAnsi" w:hAnsiTheme="minorHAnsi" w:cstheme="minorBidi"/>
              </w:rPr>
              <w:t>the Exchange indemnified against all suits, actions, claims, demands, proceedings, losses,</w:t>
            </w:r>
            <w:r w:rsidR="009F0927">
              <w:rPr>
                <w:rFonts w:asciiTheme="minorHAnsi" w:eastAsiaTheme="minorHAnsi" w:hAnsiTheme="minorHAnsi" w:cstheme="minorBidi"/>
              </w:rPr>
              <w:t xml:space="preserve"> </w:t>
            </w:r>
            <w:r w:rsidRPr="00C52563">
              <w:rPr>
                <w:rFonts w:asciiTheme="minorHAnsi" w:eastAsiaTheme="minorHAnsi" w:hAnsiTheme="minorHAnsi" w:cstheme="minorBidi"/>
              </w:rPr>
              <w:t>damages, charges and expenses of whatsoever nature and howsoever arising from, incidental</w:t>
            </w:r>
            <w:r w:rsidR="009F0927">
              <w:rPr>
                <w:rFonts w:asciiTheme="minorHAnsi" w:eastAsiaTheme="minorHAnsi" w:hAnsiTheme="minorHAnsi" w:cstheme="minorBidi"/>
              </w:rPr>
              <w:t xml:space="preserve"> </w:t>
            </w:r>
            <w:r w:rsidRPr="00C52563">
              <w:rPr>
                <w:rFonts w:asciiTheme="minorHAnsi" w:eastAsiaTheme="minorHAnsi" w:hAnsiTheme="minorHAnsi" w:cstheme="minorBidi"/>
              </w:rPr>
              <w:t>to or in connection with the aforesaid sale.</w:t>
            </w:r>
          </w:p>
          <w:p w:rsidR="00C52563" w:rsidRPr="00C52563" w:rsidRDefault="00C52563" w:rsidP="007D789A">
            <w:pPr>
              <w:spacing w:after="0" w:line="240" w:lineRule="auto"/>
              <w:rPr>
                <w:rFonts w:asciiTheme="minorHAnsi" w:eastAsiaTheme="minorHAnsi" w:hAnsiTheme="minorHAnsi" w:cstheme="minorBidi"/>
              </w:rPr>
            </w:pPr>
          </w:p>
          <w:p w:rsidR="00C52563" w:rsidRDefault="00C52563" w:rsidP="007D789A">
            <w:pPr>
              <w:spacing w:after="0" w:line="240" w:lineRule="auto"/>
              <w:rPr>
                <w:rFonts w:asciiTheme="minorHAnsi" w:eastAsiaTheme="minorHAnsi" w:hAnsiTheme="minorHAnsi" w:cstheme="minorBidi"/>
              </w:rPr>
            </w:pPr>
            <w:r w:rsidRPr="00C52563">
              <w:rPr>
                <w:rFonts w:asciiTheme="minorHAnsi" w:eastAsiaTheme="minorHAnsi" w:hAnsiTheme="minorHAnsi" w:cstheme="minorBidi"/>
              </w:rPr>
              <w:t>(5) A person’s name will be removed by the Exchange from the defaulters list in any of the</w:t>
            </w:r>
            <w:r w:rsidR="009F0927">
              <w:rPr>
                <w:rFonts w:asciiTheme="minorHAnsi" w:eastAsiaTheme="minorHAnsi" w:hAnsiTheme="minorHAnsi" w:cstheme="minorBidi"/>
              </w:rPr>
              <w:t xml:space="preserve"> </w:t>
            </w:r>
            <w:r w:rsidRPr="00C52563">
              <w:rPr>
                <w:rFonts w:asciiTheme="minorHAnsi" w:eastAsiaTheme="minorHAnsi" w:hAnsiTheme="minorHAnsi" w:cstheme="minorBidi"/>
              </w:rPr>
              <w:t xml:space="preserve">following circumstances </w:t>
            </w:r>
            <w:r w:rsidR="001E4E43">
              <w:rPr>
                <w:rFonts w:asciiTheme="minorHAnsi" w:eastAsiaTheme="minorHAnsi" w:hAnsiTheme="minorHAnsi" w:cstheme="minorBidi"/>
              </w:rPr>
              <w:t>:-</w:t>
            </w:r>
          </w:p>
          <w:p w:rsidR="009F0927" w:rsidRPr="00C52563" w:rsidRDefault="009F0927" w:rsidP="007D789A">
            <w:pPr>
              <w:spacing w:after="0" w:line="240" w:lineRule="auto"/>
              <w:rPr>
                <w:rFonts w:asciiTheme="minorHAnsi" w:eastAsiaTheme="minorHAnsi" w:hAnsiTheme="minorHAnsi" w:cstheme="minorBidi"/>
              </w:rPr>
            </w:pPr>
          </w:p>
          <w:p w:rsidR="00C52563" w:rsidRPr="00C52563" w:rsidRDefault="00C52563" w:rsidP="007D789A">
            <w:pPr>
              <w:spacing w:after="0" w:line="240" w:lineRule="auto"/>
              <w:rPr>
                <w:rFonts w:asciiTheme="minorHAnsi" w:eastAsiaTheme="minorHAnsi" w:hAnsiTheme="minorHAnsi" w:cstheme="minorBidi"/>
              </w:rPr>
            </w:pPr>
            <w:r w:rsidRPr="00C52563">
              <w:rPr>
                <w:rFonts w:asciiTheme="minorHAnsi" w:eastAsiaTheme="minorHAnsi" w:hAnsiTheme="minorHAnsi" w:cstheme="minorBidi"/>
              </w:rPr>
              <w:t>(a) upon the fulfilment by him of his obligation to the Participating Organisation concerned</w:t>
            </w:r>
            <w:r w:rsidR="009F0927">
              <w:rPr>
                <w:rFonts w:asciiTheme="minorHAnsi" w:eastAsiaTheme="minorHAnsi" w:hAnsiTheme="minorHAnsi" w:cstheme="minorBidi"/>
              </w:rPr>
              <w:t xml:space="preserve"> </w:t>
            </w:r>
            <w:r w:rsidRPr="00C52563">
              <w:rPr>
                <w:rFonts w:asciiTheme="minorHAnsi" w:eastAsiaTheme="minorHAnsi" w:hAnsiTheme="minorHAnsi" w:cstheme="minorBidi"/>
              </w:rPr>
              <w:t>provided that the same shall have been notified to the Exchange by the Participating</w:t>
            </w:r>
          </w:p>
          <w:p w:rsidR="009F0927" w:rsidRDefault="00C52563" w:rsidP="007D789A">
            <w:pPr>
              <w:spacing w:after="0" w:line="240" w:lineRule="auto"/>
              <w:rPr>
                <w:rFonts w:asciiTheme="minorHAnsi" w:eastAsiaTheme="minorHAnsi" w:hAnsiTheme="minorHAnsi" w:cstheme="minorBidi"/>
              </w:rPr>
            </w:pPr>
            <w:r w:rsidRPr="00C52563">
              <w:rPr>
                <w:rFonts w:asciiTheme="minorHAnsi" w:eastAsiaTheme="minorHAnsi" w:hAnsiTheme="minorHAnsi" w:cstheme="minorBidi"/>
              </w:rPr>
              <w:t>Organisation in writing;</w:t>
            </w:r>
            <w:r w:rsidR="009F0927">
              <w:rPr>
                <w:rFonts w:asciiTheme="minorHAnsi" w:eastAsiaTheme="minorHAnsi" w:hAnsiTheme="minorHAnsi" w:cstheme="minorBidi"/>
              </w:rPr>
              <w:t xml:space="preserve"> </w:t>
            </w:r>
          </w:p>
          <w:p w:rsidR="009F0927" w:rsidRDefault="009F0927" w:rsidP="007D789A">
            <w:pPr>
              <w:spacing w:after="0" w:line="240" w:lineRule="auto"/>
              <w:rPr>
                <w:rFonts w:asciiTheme="minorHAnsi" w:eastAsiaTheme="minorHAnsi" w:hAnsiTheme="minorHAnsi" w:cstheme="minorBidi"/>
              </w:rPr>
            </w:pPr>
          </w:p>
          <w:p w:rsidR="00C52563" w:rsidRPr="00C52563" w:rsidRDefault="00C52563" w:rsidP="007D789A">
            <w:pPr>
              <w:spacing w:after="0" w:line="240" w:lineRule="auto"/>
              <w:rPr>
                <w:rFonts w:asciiTheme="minorHAnsi" w:eastAsiaTheme="minorHAnsi" w:hAnsiTheme="minorHAnsi" w:cstheme="minorBidi"/>
              </w:rPr>
            </w:pPr>
            <w:r w:rsidRPr="00C52563">
              <w:rPr>
                <w:rFonts w:asciiTheme="minorHAnsi" w:eastAsiaTheme="minorHAnsi" w:hAnsiTheme="minorHAnsi" w:cstheme="minorBidi"/>
              </w:rPr>
              <w:t>(b) where the Exchange in its absolute discretion is of the view that such posting can no</w:t>
            </w:r>
            <w:r w:rsidR="009F0927">
              <w:rPr>
                <w:rFonts w:asciiTheme="minorHAnsi" w:eastAsiaTheme="minorHAnsi" w:hAnsiTheme="minorHAnsi" w:cstheme="minorBidi"/>
              </w:rPr>
              <w:t xml:space="preserve"> </w:t>
            </w:r>
            <w:r w:rsidRPr="00C52563">
              <w:rPr>
                <w:rFonts w:asciiTheme="minorHAnsi" w:eastAsiaTheme="minorHAnsi" w:hAnsiTheme="minorHAnsi" w:cstheme="minorBidi"/>
              </w:rPr>
              <w:t>longer be justified.</w:t>
            </w:r>
          </w:p>
          <w:p w:rsidR="005D31F9" w:rsidRPr="005D31F9" w:rsidRDefault="005D31F9" w:rsidP="007D789A">
            <w:pPr>
              <w:autoSpaceDE w:val="0"/>
              <w:autoSpaceDN w:val="0"/>
              <w:adjustRightInd w:val="0"/>
              <w:spacing w:after="0" w:line="240" w:lineRule="auto"/>
              <w:jc w:val="both"/>
              <w:rPr>
                <w:rFonts w:eastAsia="Times New Roman" w:cs="Calibri"/>
                <w:b/>
                <w:lang w:val="en-US"/>
              </w:rPr>
            </w:pPr>
          </w:p>
        </w:tc>
        <w:tc>
          <w:tcPr>
            <w:tcW w:w="4006" w:type="dxa"/>
          </w:tcPr>
          <w:p w:rsidR="002E15D2" w:rsidRPr="004D156A" w:rsidRDefault="002E15D2" w:rsidP="004D156A">
            <w:pPr>
              <w:pStyle w:val="ListParagraph"/>
              <w:numPr>
                <w:ilvl w:val="0"/>
                <w:numId w:val="27"/>
              </w:numPr>
              <w:spacing w:after="0" w:line="240" w:lineRule="auto"/>
              <w:ind w:left="360"/>
              <w:rPr>
                <w:rFonts w:asciiTheme="minorHAnsi" w:eastAsiaTheme="minorHAnsi" w:hAnsiTheme="minorHAnsi" w:cstheme="minorBidi"/>
              </w:rPr>
            </w:pPr>
            <w:r w:rsidRPr="004D156A">
              <w:rPr>
                <w:rFonts w:asciiTheme="minorHAnsi" w:eastAsiaTheme="minorHAnsi" w:hAnsiTheme="minorHAnsi" w:cstheme="minorBidi"/>
              </w:rPr>
              <w:lastRenderedPageBreak/>
              <w:t>ASCM has been requesting SC and Bursa to reintroduce the defaulters’ list service to the industry as an essential credit management tool. BRIDGe has also acknowledged the importance of this service to the industry.</w:t>
            </w:r>
          </w:p>
          <w:p w:rsidR="00E47A65" w:rsidRDefault="00E47A65" w:rsidP="004D156A">
            <w:pPr>
              <w:spacing w:after="0" w:line="240" w:lineRule="auto"/>
              <w:ind w:left="360"/>
              <w:contextualSpacing/>
              <w:rPr>
                <w:rFonts w:asciiTheme="minorHAnsi" w:eastAsiaTheme="minorHAnsi" w:hAnsiTheme="minorHAnsi" w:cstheme="minorBidi"/>
                <w:b/>
              </w:rPr>
            </w:pPr>
          </w:p>
          <w:p w:rsidR="005D31F9" w:rsidRDefault="005D31F9" w:rsidP="004D156A">
            <w:pPr>
              <w:spacing w:after="0" w:line="240" w:lineRule="auto"/>
              <w:ind w:left="360"/>
              <w:contextualSpacing/>
              <w:rPr>
                <w:rFonts w:asciiTheme="minorHAnsi" w:eastAsiaTheme="minorHAnsi" w:hAnsiTheme="minorHAnsi" w:cstheme="minorBidi"/>
                <w:b/>
              </w:rPr>
            </w:pPr>
          </w:p>
          <w:p w:rsidR="002E15D2" w:rsidRDefault="002E15D2" w:rsidP="004D156A">
            <w:pPr>
              <w:spacing w:after="0" w:line="240" w:lineRule="auto"/>
              <w:ind w:left="360"/>
              <w:contextualSpacing/>
              <w:rPr>
                <w:rFonts w:asciiTheme="minorHAnsi" w:eastAsiaTheme="minorHAnsi" w:hAnsiTheme="minorHAnsi" w:cstheme="minorBidi"/>
                <w:b/>
              </w:rPr>
            </w:pPr>
          </w:p>
          <w:p w:rsidR="002E15D2" w:rsidRDefault="002E15D2" w:rsidP="004D156A">
            <w:pPr>
              <w:spacing w:after="0" w:line="240" w:lineRule="auto"/>
              <w:ind w:left="360"/>
              <w:contextualSpacing/>
              <w:rPr>
                <w:rFonts w:asciiTheme="minorHAnsi" w:eastAsiaTheme="minorHAnsi" w:hAnsiTheme="minorHAnsi" w:cstheme="minorBidi"/>
                <w:b/>
              </w:rPr>
            </w:pPr>
          </w:p>
          <w:p w:rsidR="00173736" w:rsidRPr="004D156A" w:rsidRDefault="002E15D2" w:rsidP="004D156A">
            <w:pPr>
              <w:pStyle w:val="ListParagraph"/>
              <w:numPr>
                <w:ilvl w:val="0"/>
                <w:numId w:val="27"/>
              </w:numPr>
              <w:spacing w:after="0" w:line="240" w:lineRule="auto"/>
              <w:ind w:left="360"/>
              <w:rPr>
                <w:rFonts w:asciiTheme="minorHAnsi" w:eastAsiaTheme="minorHAnsi" w:hAnsiTheme="minorHAnsi" w:cstheme="minorBidi"/>
              </w:rPr>
            </w:pPr>
            <w:r w:rsidRPr="004D156A">
              <w:rPr>
                <w:rFonts w:asciiTheme="minorHAnsi" w:eastAsiaTheme="minorHAnsi" w:hAnsiTheme="minorHAnsi" w:cstheme="minorBidi"/>
              </w:rPr>
              <w:lastRenderedPageBreak/>
              <w:t>Under the previous rule, a</w:t>
            </w:r>
            <w:r w:rsidR="00173736" w:rsidRPr="004D156A">
              <w:rPr>
                <w:rFonts w:asciiTheme="minorHAnsi" w:eastAsiaTheme="minorHAnsi" w:hAnsiTheme="minorHAnsi" w:cstheme="minorBidi"/>
              </w:rPr>
              <w:t xml:space="preserve"> person is identified as defaulter when he fails to meet a financial obligation with a </w:t>
            </w:r>
            <w:r w:rsidR="001903E4" w:rsidRPr="004D156A">
              <w:rPr>
                <w:rFonts w:asciiTheme="minorHAnsi" w:eastAsiaTheme="minorHAnsi" w:hAnsiTheme="minorHAnsi" w:cstheme="minorBidi"/>
              </w:rPr>
              <w:t>broker</w:t>
            </w:r>
            <w:r w:rsidR="00173736" w:rsidRPr="004D156A">
              <w:rPr>
                <w:rFonts w:asciiTheme="minorHAnsi" w:eastAsiaTheme="minorHAnsi" w:hAnsiTheme="minorHAnsi" w:cstheme="minorBidi"/>
              </w:rPr>
              <w:t xml:space="preserve"> of not less than RM</w:t>
            </w:r>
            <w:r w:rsidRPr="004D156A">
              <w:rPr>
                <w:rFonts w:asciiTheme="minorHAnsi" w:eastAsiaTheme="minorHAnsi" w:hAnsiTheme="minorHAnsi" w:cstheme="minorBidi"/>
              </w:rPr>
              <w:t>2</w:t>
            </w:r>
            <w:r w:rsidR="00173736" w:rsidRPr="004D156A">
              <w:rPr>
                <w:rFonts w:asciiTheme="minorHAnsi" w:eastAsiaTheme="minorHAnsi" w:hAnsiTheme="minorHAnsi" w:cstheme="minorBidi"/>
              </w:rPr>
              <w:t>,000.</w:t>
            </w:r>
            <w:r w:rsidR="005207A1" w:rsidRPr="004D156A">
              <w:rPr>
                <w:rFonts w:asciiTheme="minorHAnsi" w:eastAsiaTheme="minorHAnsi" w:hAnsiTheme="minorHAnsi" w:cstheme="minorBidi"/>
              </w:rPr>
              <w:t xml:space="preserve"> </w:t>
            </w:r>
            <w:r w:rsidR="004D156A" w:rsidRPr="004D156A">
              <w:rPr>
                <w:rFonts w:asciiTheme="minorHAnsi" w:eastAsiaTheme="minorHAnsi" w:hAnsiTheme="minorHAnsi" w:cstheme="minorBidi"/>
              </w:rPr>
              <w:t>Brok</w:t>
            </w:r>
            <w:r w:rsidR="005207A1" w:rsidRPr="004D156A">
              <w:rPr>
                <w:rFonts w:asciiTheme="minorHAnsi" w:eastAsiaTheme="minorHAnsi" w:hAnsiTheme="minorHAnsi" w:cstheme="minorBidi"/>
              </w:rPr>
              <w:t xml:space="preserve">ers’ opinions are sought on the amount of the financial obligation. </w:t>
            </w:r>
          </w:p>
          <w:p w:rsidR="00173736" w:rsidRDefault="00173736" w:rsidP="004D156A">
            <w:pPr>
              <w:pStyle w:val="ListParagraph"/>
              <w:spacing w:after="0" w:line="240" w:lineRule="auto"/>
              <w:ind w:left="360"/>
              <w:rPr>
                <w:rFonts w:asciiTheme="minorHAnsi" w:eastAsiaTheme="minorHAnsi" w:hAnsiTheme="minorHAnsi" w:cstheme="minorBidi"/>
              </w:rPr>
            </w:pPr>
          </w:p>
          <w:p w:rsidR="00680E93" w:rsidRDefault="00680E93" w:rsidP="004D156A">
            <w:pPr>
              <w:pStyle w:val="ListParagraph"/>
              <w:spacing w:after="0" w:line="240" w:lineRule="auto"/>
              <w:ind w:left="360"/>
              <w:rPr>
                <w:rFonts w:asciiTheme="minorHAnsi" w:eastAsiaTheme="minorHAnsi" w:hAnsiTheme="minorHAnsi" w:cstheme="minorBidi"/>
              </w:rPr>
            </w:pPr>
          </w:p>
          <w:p w:rsidR="00610B35" w:rsidRDefault="00610B35" w:rsidP="004D156A">
            <w:pPr>
              <w:pStyle w:val="ListParagraph"/>
              <w:spacing w:after="0" w:line="240" w:lineRule="auto"/>
              <w:ind w:left="360"/>
              <w:rPr>
                <w:rFonts w:asciiTheme="minorHAnsi" w:eastAsiaTheme="minorHAnsi" w:hAnsiTheme="minorHAnsi" w:cstheme="minorBidi"/>
              </w:rPr>
            </w:pPr>
          </w:p>
          <w:p w:rsidR="00680E93" w:rsidRDefault="00680E93" w:rsidP="004D156A">
            <w:pPr>
              <w:pStyle w:val="ListParagraph"/>
              <w:spacing w:after="0" w:line="240" w:lineRule="auto"/>
              <w:ind w:left="360"/>
              <w:rPr>
                <w:rFonts w:asciiTheme="minorHAnsi" w:eastAsiaTheme="minorHAnsi" w:hAnsiTheme="minorHAnsi" w:cstheme="minorBidi"/>
              </w:rPr>
            </w:pPr>
          </w:p>
          <w:p w:rsidR="005D31F9" w:rsidRPr="004D156A" w:rsidRDefault="004D156A" w:rsidP="004D156A">
            <w:pPr>
              <w:pStyle w:val="ListParagraph"/>
              <w:numPr>
                <w:ilvl w:val="0"/>
                <w:numId w:val="27"/>
              </w:numPr>
              <w:spacing w:after="0" w:line="240" w:lineRule="auto"/>
              <w:ind w:left="360"/>
              <w:rPr>
                <w:rFonts w:asciiTheme="minorHAnsi" w:eastAsiaTheme="minorHAnsi" w:hAnsiTheme="minorHAnsi" w:cstheme="minorBidi"/>
                <w:b/>
              </w:rPr>
            </w:pPr>
            <w:r w:rsidRPr="004D156A">
              <w:rPr>
                <w:rFonts w:asciiTheme="minorHAnsi" w:eastAsiaTheme="minorHAnsi" w:hAnsiTheme="minorHAnsi" w:cstheme="minorBidi"/>
              </w:rPr>
              <w:t>It is proposed that t</w:t>
            </w:r>
            <w:r w:rsidR="005D31F9" w:rsidRPr="004D156A">
              <w:rPr>
                <w:rFonts w:asciiTheme="minorHAnsi" w:eastAsiaTheme="minorHAnsi" w:hAnsiTheme="minorHAnsi" w:cstheme="minorBidi"/>
              </w:rPr>
              <w:t xml:space="preserve">he defaulters list consolidated is used only as a reference. Brokers </w:t>
            </w:r>
            <w:r w:rsidRPr="004D156A">
              <w:rPr>
                <w:rFonts w:asciiTheme="minorHAnsi" w:eastAsiaTheme="minorHAnsi" w:hAnsiTheme="minorHAnsi" w:cstheme="minorBidi"/>
              </w:rPr>
              <w:t>will be</w:t>
            </w:r>
            <w:r w:rsidR="005D31F9" w:rsidRPr="004D156A">
              <w:rPr>
                <w:rFonts w:asciiTheme="minorHAnsi" w:eastAsiaTheme="minorHAnsi" w:hAnsiTheme="minorHAnsi" w:cstheme="minorBidi"/>
              </w:rPr>
              <w:t xml:space="preserve"> given the discretion whether to trade or not to trade with the defaulters based on the broker’s own internal credit policy.</w:t>
            </w:r>
          </w:p>
          <w:p w:rsidR="00173736" w:rsidRDefault="00173736" w:rsidP="004D156A">
            <w:pPr>
              <w:pStyle w:val="ListParagraph"/>
              <w:ind w:left="360"/>
              <w:rPr>
                <w:rFonts w:asciiTheme="minorHAnsi" w:eastAsiaTheme="minorHAnsi" w:hAnsiTheme="minorHAnsi" w:cstheme="minorBidi"/>
                <w:b/>
              </w:rPr>
            </w:pPr>
          </w:p>
          <w:p w:rsidR="004C5BE0" w:rsidRDefault="004C5BE0" w:rsidP="004D156A">
            <w:pPr>
              <w:pStyle w:val="ListParagraph"/>
              <w:ind w:left="360"/>
              <w:rPr>
                <w:rFonts w:asciiTheme="minorHAnsi" w:eastAsiaTheme="minorHAnsi" w:hAnsiTheme="minorHAnsi" w:cstheme="minorBidi"/>
                <w:b/>
              </w:rPr>
            </w:pPr>
          </w:p>
          <w:p w:rsidR="003C27F0" w:rsidRDefault="004D156A" w:rsidP="004D156A">
            <w:pPr>
              <w:pStyle w:val="ListParagraph"/>
              <w:numPr>
                <w:ilvl w:val="0"/>
                <w:numId w:val="27"/>
              </w:numPr>
              <w:ind w:left="360"/>
              <w:rPr>
                <w:rFonts w:asciiTheme="minorHAnsi" w:eastAsiaTheme="minorHAnsi" w:hAnsiTheme="minorHAnsi" w:cstheme="minorBidi"/>
              </w:rPr>
            </w:pPr>
            <w:r w:rsidRPr="004D156A">
              <w:rPr>
                <w:rFonts w:asciiTheme="minorHAnsi" w:eastAsiaTheme="minorHAnsi" w:hAnsiTheme="minorHAnsi" w:cstheme="minorBidi"/>
              </w:rPr>
              <w:t>Brokers’ views are sought whether the industry should allow clients to access the information obtained in the defaulters’</w:t>
            </w:r>
            <w:r w:rsidR="00610B35">
              <w:rPr>
                <w:rFonts w:asciiTheme="minorHAnsi" w:eastAsiaTheme="minorHAnsi" w:hAnsiTheme="minorHAnsi" w:cstheme="minorBidi"/>
              </w:rPr>
              <w:t xml:space="preserve"> list such as:</w:t>
            </w:r>
          </w:p>
          <w:p w:rsidR="00610B35" w:rsidRDefault="00610B35" w:rsidP="00610B35">
            <w:pPr>
              <w:pStyle w:val="ListParagraph"/>
              <w:numPr>
                <w:ilvl w:val="0"/>
                <w:numId w:val="28"/>
              </w:numPr>
              <w:rPr>
                <w:rFonts w:asciiTheme="minorHAnsi" w:eastAsiaTheme="minorHAnsi" w:hAnsiTheme="minorHAnsi" w:cstheme="minorBidi"/>
              </w:rPr>
            </w:pPr>
            <w:r>
              <w:rPr>
                <w:rFonts w:asciiTheme="minorHAnsi" w:eastAsiaTheme="minorHAnsi" w:hAnsiTheme="minorHAnsi" w:cstheme="minorBidi"/>
              </w:rPr>
              <w:t>Amount in default</w:t>
            </w:r>
          </w:p>
          <w:p w:rsidR="00610B35" w:rsidRPr="004D156A" w:rsidRDefault="00610B35" w:rsidP="00610B35">
            <w:pPr>
              <w:pStyle w:val="ListParagraph"/>
              <w:numPr>
                <w:ilvl w:val="0"/>
                <w:numId w:val="28"/>
              </w:numPr>
              <w:rPr>
                <w:rFonts w:asciiTheme="minorHAnsi" w:eastAsiaTheme="minorHAnsi" w:hAnsiTheme="minorHAnsi" w:cstheme="minorBidi"/>
              </w:rPr>
            </w:pPr>
            <w:r>
              <w:rPr>
                <w:rFonts w:asciiTheme="minorHAnsi" w:eastAsiaTheme="minorHAnsi" w:hAnsiTheme="minorHAnsi" w:cstheme="minorBidi"/>
              </w:rPr>
              <w:t>Name of the broker who posted the defaulter’s name</w:t>
            </w:r>
          </w:p>
          <w:p w:rsidR="00680E93" w:rsidRPr="004D156A" w:rsidRDefault="00680E93" w:rsidP="004D156A">
            <w:pPr>
              <w:rPr>
                <w:rFonts w:asciiTheme="minorHAnsi" w:eastAsiaTheme="minorHAnsi" w:hAnsiTheme="minorHAnsi" w:cstheme="minorBidi"/>
                <w:b/>
              </w:rPr>
            </w:pPr>
          </w:p>
          <w:p w:rsidR="005D31F9" w:rsidRPr="004D156A" w:rsidRDefault="005D31F9" w:rsidP="004D156A">
            <w:pPr>
              <w:spacing w:after="0" w:line="240" w:lineRule="auto"/>
              <w:rPr>
                <w:rFonts w:eastAsia="Times New Roman" w:cs="Calibri"/>
                <w:b/>
                <w:lang w:val="en-US"/>
              </w:rPr>
            </w:pPr>
          </w:p>
        </w:tc>
        <w:tc>
          <w:tcPr>
            <w:tcW w:w="4964" w:type="dxa"/>
          </w:tcPr>
          <w:p w:rsidR="002E15D2" w:rsidRDefault="00680E93" w:rsidP="00680E93">
            <w:pPr>
              <w:autoSpaceDE w:val="0"/>
              <w:autoSpaceDN w:val="0"/>
              <w:adjustRightInd w:val="0"/>
              <w:spacing w:after="0" w:line="240" w:lineRule="auto"/>
              <w:jc w:val="both"/>
              <w:rPr>
                <w:rFonts w:eastAsia="Times New Roman" w:cs="Calibri"/>
                <w:i/>
              </w:rPr>
            </w:pPr>
            <w:r w:rsidRPr="00680E93">
              <w:rPr>
                <w:rFonts w:eastAsia="Times New Roman" w:cs="Calibri"/>
                <w:i/>
              </w:rPr>
              <w:lastRenderedPageBreak/>
              <w:t xml:space="preserve">Question 1: Do you </w:t>
            </w:r>
            <w:r w:rsidR="002E15D2">
              <w:rPr>
                <w:rFonts w:eastAsia="Times New Roman" w:cs="Calibri"/>
                <w:i/>
              </w:rPr>
              <w:t>support the reinstatement of the defaulters’ list service</w:t>
            </w:r>
            <w:r w:rsidRPr="00680E93">
              <w:rPr>
                <w:rFonts w:eastAsia="Times New Roman" w:cs="Calibri"/>
                <w:i/>
              </w:rPr>
              <w:t xml:space="preserve">? </w:t>
            </w:r>
          </w:p>
          <w:p w:rsidR="002E15D2" w:rsidRDefault="002E15D2" w:rsidP="002E15D2">
            <w:pPr>
              <w:pStyle w:val="ListParagraph"/>
              <w:numPr>
                <w:ilvl w:val="0"/>
                <w:numId w:val="23"/>
              </w:numPr>
              <w:autoSpaceDE w:val="0"/>
              <w:autoSpaceDN w:val="0"/>
              <w:adjustRightInd w:val="0"/>
              <w:spacing w:after="0" w:line="240" w:lineRule="auto"/>
              <w:jc w:val="both"/>
              <w:rPr>
                <w:rFonts w:eastAsia="Times New Roman" w:cs="Calibri"/>
                <w:i/>
              </w:rPr>
            </w:pPr>
            <w:r>
              <w:rPr>
                <w:rFonts w:eastAsia="Times New Roman" w:cs="Calibri"/>
                <w:i/>
              </w:rPr>
              <w:t xml:space="preserve">Yes, we do support </w:t>
            </w:r>
          </w:p>
          <w:p w:rsidR="002E15D2" w:rsidRPr="002E15D2" w:rsidRDefault="002E15D2" w:rsidP="002E15D2">
            <w:pPr>
              <w:pStyle w:val="ListParagraph"/>
              <w:numPr>
                <w:ilvl w:val="0"/>
                <w:numId w:val="23"/>
              </w:numPr>
              <w:autoSpaceDE w:val="0"/>
              <w:autoSpaceDN w:val="0"/>
              <w:adjustRightInd w:val="0"/>
              <w:spacing w:after="0" w:line="240" w:lineRule="auto"/>
              <w:jc w:val="both"/>
              <w:rPr>
                <w:rFonts w:eastAsia="Times New Roman" w:cs="Calibri"/>
                <w:i/>
              </w:rPr>
            </w:pPr>
            <w:r>
              <w:rPr>
                <w:rFonts w:eastAsia="Times New Roman" w:cs="Calibri"/>
                <w:i/>
              </w:rPr>
              <w:t>No, the defaulters’ list service is not necessary</w:t>
            </w:r>
          </w:p>
          <w:p w:rsidR="00680E93" w:rsidRPr="00680E93" w:rsidRDefault="002E15D2" w:rsidP="00680E93">
            <w:pPr>
              <w:autoSpaceDE w:val="0"/>
              <w:autoSpaceDN w:val="0"/>
              <w:adjustRightInd w:val="0"/>
              <w:spacing w:after="0" w:line="240" w:lineRule="auto"/>
              <w:jc w:val="both"/>
              <w:rPr>
                <w:rFonts w:eastAsia="Times New Roman" w:cs="Calibri"/>
                <w:i/>
              </w:rPr>
            </w:pPr>
            <w:r>
              <w:rPr>
                <w:rFonts w:eastAsia="Times New Roman" w:cs="Calibri"/>
                <w:i/>
              </w:rPr>
              <w:t xml:space="preserve"> </w:t>
            </w:r>
          </w:p>
          <w:p w:rsidR="00680E93" w:rsidRPr="00680E93" w:rsidRDefault="00680E93" w:rsidP="00680E93">
            <w:pPr>
              <w:autoSpaceDE w:val="0"/>
              <w:autoSpaceDN w:val="0"/>
              <w:adjustRightInd w:val="0"/>
              <w:spacing w:after="0" w:line="240" w:lineRule="auto"/>
              <w:jc w:val="both"/>
              <w:rPr>
                <w:rFonts w:eastAsia="Times New Roman" w:cs="Calibri"/>
                <w:i/>
              </w:rPr>
            </w:pPr>
          </w:p>
          <w:p w:rsidR="00680E93" w:rsidRPr="00680E93" w:rsidRDefault="00680E93" w:rsidP="00680E93">
            <w:pPr>
              <w:autoSpaceDE w:val="0"/>
              <w:autoSpaceDN w:val="0"/>
              <w:adjustRightInd w:val="0"/>
              <w:spacing w:after="0" w:line="240" w:lineRule="auto"/>
              <w:jc w:val="both"/>
              <w:rPr>
                <w:rFonts w:eastAsia="Times New Roman" w:cs="Calibri"/>
                <w:i/>
              </w:rPr>
            </w:pPr>
          </w:p>
          <w:p w:rsidR="00680E93" w:rsidRDefault="00680E93" w:rsidP="00680E93">
            <w:pPr>
              <w:autoSpaceDE w:val="0"/>
              <w:autoSpaceDN w:val="0"/>
              <w:adjustRightInd w:val="0"/>
              <w:spacing w:after="0" w:line="240" w:lineRule="auto"/>
              <w:jc w:val="both"/>
              <w:rPr>
                <w:rFonts w:eastAsia="Times New Roman" w:cs="Calibri"/>
                <w:i/>
              </w:rPr>
            </w:pPr>
          </w:p>
          <w:p w:rsidR="005207A1" w:rsidRDefault="005207A1" w:rsidP="00680E93">
            <w:pPr>
              <w:autoSpaceDE w:val="0"/>
              <w:autoSpaceDN w:val="0"/>
              <w:adjustRightInd w:val="0"/>
              <w:spacing w:after="0" w:line="240" w:lineRule="auto"/>
              <w:jc w:val="both"/>
              <w:rPr>
                <w:rFonts w:eastAsia="Times New Roman" w:cs="Calibri"/>
                <w:i/>
              </w:rPr>
            </w:pPr>
          </w:p>
          <w:p w:rsidR="005207A1" w:rsidRPr="00680E93" w:rsidRDefault="005207A1" w:rsidP="00680E93">
            <w:pPr>
              <w:autoSpaceDE w:val="0"/>
              <w:autoSpaceDN w:val="0"/>
              <w:adjustRightInd w:val="0"/>
              <w:spacing w:after="0" w:line="240" w:lineRule="auto"/>
              <w:jc w:val="both"/>
              <w:rPr>
                <w:rFonts w:eastAsia="Times New Roman" w:cs="Calibri"/>
                <w:i/>
              </w:rPr>
            </w:pPr>
          </w:p>
          <w:p w:rsidR="00680E93" w:rsidRDefault="0037401B" w:rsidP="007D789A">
            <w:pPr>
              <w:autoSpaceDE w:val="0"/>
              <w:autoSpaceDN w:val="0"/>
              <w:adjustRightInd w:val="0"/>
              <w:spacing w:after="0" w:line="240" w:lineRule="auto"/>
              <w:jc w:val="both"/>
              <w:rPr>
                <w:rFonts w:eastAsia="Times New Roman" w:cs="Calibri"/>
                <w:i/>
                <w:lang w:val="en-US"/>
              </w:rPr>
            </w:pPr>
            <w:r>
              <w:rPr>
                <w:rFonts w:eastAsia="Times New Roman" w:cs="Calibri"/>
                <w:i/>
                <w:lang w:val="en-US"/>
              </w:rPr>
              <w:lastRenderedPageBreak/>
              <w:t xml:space="preserve">Question </w:t>
            </w:r>
            <w:r w:rsidR="005207A1">
              <w:rPr>
                <w:rFonts w:eastAsia="Times New Roman" w:cs="Calibri"/>
                <w:i/>
                <w:lang w:val="en-US"/>
              </w:rPr>
              <w:t>2</w:t>
            </w:r>
            <w:r w:rsidR="00680E93">
              <w:rPr>
                <w:rFonts w:eastAsia="Times New Roman" w:cs="Calibri"/>
                <w:i/>
                <w:lang w:val="en-US"/>
              </w:rPr>
              <w:t>: Please select the financial obligation amount that you think is appropriate t</w:t>
            </w:r>
            <w:r w:rsidR="00EC1BF1">
              <w:rPr>
                <w:rFonts w:eastAsia="Times New Roman" w:cs="Calibri"/>
                <w:i/>
                <w:lang w:val="en-US"/>
              </w:rPr>
              <w:t xml:space="preserve">o post a client </w:t>
            </w:r>
            <w:r w:rsidR="00680E93">
              <w:rPr>
                <w:rFonts w:eastAsia="Times New Roman" w:cs="Calibri"/>
                <w:i/>
                <w:lang w:val="en-US"/>
              </w:rPr>
              <w:t xml:space="preserve"> a</w:t>
            </w:r>
            <w:r w:rsidR="00EC1BF1">
              <w:rPr>
                <w:rFonts w:eastAsia="Times New Roman" w:cs="Calibri"/>
                <w:i/>
                <w:lang w:val="en-US"/>
              </w:rPr>
              <w:t>s</w:t>
            </w:r>
            <w:r w:rsidR="00680E93">
              <w:rPr>
                <w:rFonts w:eastAsia="Times New Roman" w:cs="Calibri"/>
                <w:i/>
                <w:lang w:val="en-US"/>
              </w:rPr>
              <w:t xml:space="preserve"> defaulter.</w:t>
            </w:r>
          </w:p>
          <w:p w:rsidR="00680E93" w:rsidRDefault="002E15D2" w:rsidP="00680E93">
            <w:pPr>
              <w:pStyle w:val="ListParagraph"/>
              <w:numPr>
                <w:ilvl w:val="0"/>
                <w:numId w:val="22"/>
              </w:numPr>
              <w:autoSpaceDE w:val="0"/>
              <w:autoSpaceDN w:val="0"/>
              <w:adjustRightInd w:val="0"/>
              <w:spacing w:after="0" w:line="240" w:lineRule="auto"/>
              <w:jc w:val="both"/>
              <w:rPr>
                <w:rFonts w:eastAsia="Times New Roman" w:cs="Calibri"/>
                <w:i/>
                <w:lang w:val="en-US"/>
              </w:rPr>
            </w:pPr>
            <w:r>
              <w:rPr>
                <w:rFonts w:eastAsia="Times New Roman" w:cs="Calibri"/>
                <w:i/>
                <w:lang w:val="en-US"/>
              </w:rPr>
              <w:t>Not less than RM2</w:t>
            </w:r>
            <w:r w:rsidR="00680E93">
              <w:rPr>
                <w:rFonts w:eastAsia="Times New Roman" w:cs="Calibri"/>
                <w:i/>
                <w:lang w:val="en-US"/>
              </w:rPr>
              <w:t>,000</w:t>
            </w:r>
          </w:p>
          <w:p w:rsidR="00680E93" w:rsidRDefault="002E15D2" w:rsidP="00680E93">
            <w:pPr>
              <w:pStyle w:val="ListParagraph"/>
              <w:numPr>
                <w:ilvl w:val="0"/>
                <w:numId w:val="22"/>
              </w:numPr>
              <w:autoSpaceDE w:val="0"/>
              <w:autoSpaceDN w:val="0"/>
              <w:adjustRightInd w:val="0"/>
              <w:spacing w:after="0" w:line="240" w:lineRule="auto"/>
              <w:jc w:val="both"/>
              <w:rPr>
                <w:rFonts w:eastAsia="Times New Roman" w:cs="Calibri"/>
                <w:i/>
                <w:lang w:val="en-US"/>
              </w:rPr>
            </w:pPr>
            <w:r>
              <w:rPr>
                <w:rFonts w:eastAsia="Times New Roman" w:cs="Calibri"/>
                <w:i/>
                <w:lang w:val="en-US"/>
              </w:rPr>
              <w:t>Not less than RM10</w:t>
            </w:r>
            <w:r w:rsidR="00680E93">
              <w:rPr>
                <w:rFonts w:eastAsia="Times New Roman" w:cs="Calibri"/>
                <w:i/>
                <w:lang w:val="en-US"/>
              </w:rPr>
              <w:t>,000</w:t>
            </w:r>
          </w:p>
          <w:p w:rsidR="00610B35" w:rsidRDefault="00680E93" w:rsidP="00680E93">
            <w:pPr>
              <w:pStyle w:val="ListParagraph"/>
              <w:numPr>
                <w:ilvl w:val="0"/>
                <w:numId w:val="22"/>
              </w:numPr>
              <w:autoSpaceDE w:val="0"/>
              <w:autoSpaceDN w:val="0"/>
              <w:adjustRightInd w:val="0"/>
              <w:spacing w:after="0" w:line="240" w:lineRule="auto"/>
              <w:jc w:val="both"/>
              <w:rPr>
                <w:rFonts w:eastAsia="Times New Roman" w:cs="Calibri"/>
                <w:i/>
                <w:lang w:val="en-US"/>
              </w:rPr>
            </w:pPr>
            <w:r w:rsidRPr="005207A1">
              <w:rPr>
                <w:rFonts w:eastAsia="Times New Roman" w:cs="Calibri"/>
                <w:i/>
                <w:lang w:val="en-US"/>
              </w:rPr>
              <w:t>Any amount</w:t>
            </w:r>
            <w:r w:rsidR="005207A1" w:rsidRPr="005207A1">
              <w:rPr>
                <w:rFonts w:eastAsia="Times New Roman" w:cs="Calibri"/>
                <w:i/>
                <w:lang w:val="en-US"/>
              </w:rPr>
              <w:t xml:space="preserve"> </w:t>
            </w:r>
            <w:r w:rsidR="00610B35">
              <w:rPr>
                <w:rFonts w:eastAsia="Times New Roman" w:cs="Calibri"/>
                <w:i/>
                <w:lang w:val="en-US"/>
              </w:rPr>
              <w:t xml:space="preserve">at the </w:t>
            </w:r>
            <w:r w:rsidR="005207A1" w:rsidRPr="005207A1">
              <w:rPr>
                <w:rFonts w:eastAsia="Times New Roman" w:cs="Calibri"/>
                <w:i/>
                <w:lang w:val="en-US"/>
              </w:rPr>
              <w:t>discretion of the broker</w:t>
            </w:r>
            <w:r w:rsidR="00610B35">
              <w:rPr>
                <w:rFonts w:eastAsia="Times New Roman" w:cs="Calibri"/>
                <w:i/>
                <w:lang w:val="en-US"/>
              </w:rPr>
              <w:t>s based on their internal credit policy</w:t>
            </w:r>
          </w:p>
          <w:p w:rsidR="005207A1" w:rsidRPr="005207A1" w:rsidRDefault="00610B35" w:rsidP="00680E93">
            <w:pPr>
              <w:pStyle w:val="ListParagraph"/>
              <w:numPr>
                <w:ilvl w:val="0"/>
                <w:numId w:val="22"/>
              </w:numPr>
              <w:autoSpaceDE w:val="0"/>
              <w:autoSpaceDN w:val="0"/>
              <w:adjustRightInd w:val="0"/>
              <w:spacing w:after="0" w:line="240" w:lineRule="auto"/>
              <w:jc w:val="both"/>
              <w:rPr>
                <w:rFonts w:eastAsia="Times New Roman" w:cs="Calibri"/>
                <w:i/>
                <w:lang w:val="en-US"/>
              </w:rPr>
            </w:pPr>
            <w:r>
              <w:rPr>
                <w:rFonts w:eastAsia="Times New Roman" w:cs="Calibri"/>
                <w:i/>
                <w:lang w:val="en-US"/>
              </w:rPr>
              <w:t>Not less than RM……….(please specify)</w:t>
            </w:r>
            <w:r w:rsidR="005207A1">
              <w:rPr>
                <w:rFonts w:eastAsia="Times New Roman" w:cs="Calibri"/>
                <w:i/>
                <w:lang w:val="en-US"/>
              </w:rPr>
              <w:t xml:space="preserve"> </w:t>
            </w:r>
          </w:p>
          <w:p w:rsidR="00680E93" w:rsidRDefault="00680E93" w:rsidP="00680E93">
            <w:pPr>
              <w:autoSpaceDE w:val="0"/>
              <w:autoSpaceDN w:val="0"/>
              <w:adjustRightInd w:val="0"/>
              <w:spacing w:after="0" w:line="240" w:lineRule="auto"/>
              <w:jc w:val="both"/>
              <w:rPr>
                <w:rFonts w:eastAsia="Times New Roman" w:cs="Calibri"/>
                <w:i/>
                <w:lang w:val="en-US"/>
              </w:rPr>
            </w:pPr>
          </w:p>
          <w:p w:rsidR="00680E93" w:rsidRDefault="00680E93" w:rsidP="00680E93">
            <w:pPr>
              <w:autoSpaceDE w:val="0"/>
              <w:autoSpaceDN w:val="0"/>
              <w:adjustRightInd w:val="0"/>
              <w:spacing w:after="0" w:line="240" w:lineRule="auto"/>
              <w:jc w:val="both"/>
              <w:rPr>
                <w:rFonts w:eastAsia="Times New Roman" w:cs="Calibri"/>
                <w:i/>
                <w:lang w:val="en-US"/>
              </w:rPr>
            </w:pPr>
          </w:p>
          <w:p w:rsidR="004D156A" w:rsidRDefault="00680E93" w:rsidP="00680E93">
            <w:pPr>
              <w:autoSpaceDE w:val="0"/>
              <w:autoSpaceDN w:val="0"/>
              <w:adjustRightInd w:val="0"/>
              <w:spacing w:after="0" w:line="240" w:lineRule="auto"/>
              <w:jc w:val="both"/>
              <w:rPr>
                <w:rFonts w:eastAsia="Times New Roman" w:cs="Calibri"/>
                <w:i/>
              </w:rPr>
            </w:pPr>
            <w:r w:rsidRPr="00680E93">
              <w:rPr>
                <w:rFonts w:eastAsia="Times New Roman" w:cs="Calibri"/>
                <w:i/>
              </w:rPr>
              <w:t xml:space="preserve">Question </w:t>
            </w:r>
            <w:r w:rsidR="005207A1">
              <w:rPr>
                <w:rFonts w:eastAsia="Times New Roman" w:cs="Calibri"/>
                <w:i/>
              </w:rPr>
              <w:t>3</w:t>
            </w:r>
            <w:r w:rsidRPr="00680E93">
              <w:rPr>
                <w:rFonts w:eastAsia="Times New Roman" w:cs="Calibri"/>
                <w:i/>
              </w:rPr>
              <w:t xml:space="preserve">: Do you agree with this proposal? </w:t>
            </w:r>
          </w:p>
          <w:p w:rsidR="004D156A" w:rsidRDefault="00680E93" w:rsidP="004D156A">
            <w:pPr>
              <w:pStyle w:val="ListParagraph"/>
              <w:numPr>
                <w:ilvl w:val="0"/>
                <w:numId w:val="24"/>
              </w:numPr>
              <w:autoSpaceDE w:val="0"/>
              <w:autoSpaceDN w:val="0"/>
              <w:adjustRightInd w:val="0"/>
              <w:spacing w:after="0" w:line="240" w:lineRule="auto"/>
              <w:jc w:val="both"/>
              <w:rPr>
                <w:rFonts w:eastAsia="Times New Roman" w:cs="Calibri"/>
                <w:i/>
              </w:rPr>
            </w:pPr>
            <w:r w:rsidRPr="004D156A">
              <w:rPr>
                <w:rFonts w:eastAsia="Times New Roman" w:cs="Calibri"/>
                <w:i/>
              </w:rPr>
              <w:t>Yes</w:t>
            </w:r>
            <w:r w:rsidR="00610B35">
              <w:rPr>
                <w:rFonts w:eastAsia="Times New Roman" w:cs="Calibri"/>
                <w:i/>
              </w:rPr>
              <w:t>, broker is given the discretion whether to trade or not to trade with the defaulters.</w:t>
            </w:r>
          </w:p>
          <w:p w:rsidR="00680E93" w:rsidRPr="004D156A" w:rsidRDefault="00680E93" w:rsidP="004D156A">
            <w:pPr>
              <w:pStyle w:val="ListParagraph"/>
              <w:numPr>
                <w:ilvl w:val="0"/>
                <w:numId w:val="24"/>
              </w:numPr>
              <w:autoSpaceDE w:val="0"/>
              <w:autoSpaceDN w:val="0"/>
              <w:adjustRightInd w:val="0"/>
              <w:spacing w:after="0" w:line="240" w:lineRule="auto"/>
              <w:jc w:val="both"/>
              <w:rPr>
                <w:rFonts w:eastAsia="Times New Roman" w:cs="Calibri"/>
                <w:i/>
              </w:rPr>
            </w:pPr>
            <w:r w:rsidRPr="004D156A">
              <w:rPr>
                <w:rFonts w:eastAsia="Times New Roman" w:cs="Calibri"/>
                <w:i/>
              </w:rPr>
              <w:t>No</w:t>
            </w:r>
            <w:r w:rsidR="00610B35">
              <w:rPr>
                <w:rFonts w:eastAsia="Times New Roman" w:cs="Calibri"/>
                <w:i/>
              </w:rPr>
              <w:t xml:space="preserve">, brokers are not allowed to trade with an investor once he/she is listed as a defaulter. </w:t>
            </w:r>
          </w:p>
          <w:p w:rsidR="00680E93" w:rsidRPr="00680E93" w:rsidRDefault="00680E93" w:rsidP="00680E93">
            <w:pPr>
              <w:autoSpaceDE w:val="0"/>
              <w:autoSpaceDN w:val="0"/>
              <w:adjustRightInd w:val="0"/>
              <w:spacing w:after="0" w:line="240" w:lineRule="auto"/>
              <w:jc w:val="both"/>
              <w:rPr>
                <w:rFonts w:eastAsia="Times New Roman" w:cs="Calibri"/>
                <w:i/>
              </w:rPr>
            </w:pPr>
          </w:p>
          <w:p w:rsidR="00680E93" w:rsidRDefault="00680E93" w:rsidP="00680E93">
            <w:pPr>
              <w:autoSpaceDE w:val="0"/>
              <w:autoSpaceDN w:val="0"/>
              <w:adjustRightInd w:val="0"/>
              <w:spacing w:after="0" w:line="240" w:lineRule="auto"/>
              <w:jc w:val="both"/>
              <w:rPr>
                <w:rFonts w:eastAsia="Times New Roman" w:cs="Calibri"/>
                <w:i/>
              </w:rPr>
            </w:pPr>
          </w:p>
          <w:p w:rsidR="00610B35" w:rsidRDefault="00610B35" w:rsidP="00680E93">
            <w:pPr>
              <w:autoSpaceDE w:val="0"/>
              <w:autoSpaceDN w:val="0"/>
              <w:adjustRightInd w:val="0"/>
              <w:spacing w:after="0" w:line="240" w:lineRule="auto"/>
              <w:jc w:val="both"/>
              <w:rPr>
                <w:rFonts w:eastAsia="Times New Roman" w:cs="Calibri"/>
                <w:i/>
              </w:rPr>
            </w:pPr>
          </w:p>
          <w:p w:rsidR="004D156A" w:rsidRDefault="004D156A" w:rsidP="00680E93">
            <w:pPr>
              <w:autoSpaceDE w:val="0"/>
              <w:autoSpaceDN w:val="0"/>
              <w:adjustRightInd w:val="0"/>
              <w:spacing w:after="0" w:line="240" w:lineRule="auto"/>
              <w:jc w:val="both"/>
              <w:rPr>
                <w:rFonts w:eastAsia="Times New Roman" w:cs="Calibri"/>
                <w:i/>
              </w:rPr>
            </w:pPr>
          </w:p>
          <w:p w:rsidR="003C27F0" w:rsidRPr="003C27F0" w:rsidRDefault="00680E93" w:rsidP="003C27F0">
            <w:pPr>
              <w:autoSpaceDE w:val="0"/>
              <w:autoSpaceDN w:val="0"/>
              <w:adjustRightInd w:val="0"/>
              <w:spacing w:after="0" w:line="240" w:lineRule="auto"/>
              <w:jc w:val="both"/>
              <w:rPr>
                <w:rFonts w:eastAsia="Times New Roman" w:cs="Calibri"/>
                <w:i/>
              </w:rPr>
            </w:pPr>
            <w:r w:rsidRPr="00680E93">
              <w:rPr>
                <w:rFonts w:eastAsia="Times New Roman" w:cs="Calibri"/>
                <w:i/>
              </w:rPr>
              <w:t xml:space="preserve">Question </w:t>
            </w:r>
            <w:r w:rsidR="00EC1BF1">
              <w:rPr>
                <w:rFonts w:eastAsia="Times New Roman" w:cs="Calibri"/>
                <w:i/>
              </w:rPr>
              <w:t>4</w:t>
            </w:r>
            <w:r w:rsidRPr="00680E93">
              <w:rPr>
                <w:rFonts w:eastAsia="Times New Roman" w:cs="Calibri"/>
                <w:i/>
              </w:rPr>
              <w:t xml:space="preserve">: </w:t>
            </w:r>
            <w:r w:rsidR="004D156A">
              <w:rPr>
                <w:rFonts w:eastAsia="Times New Roman" w:cs="Calibri"/>
                <w:i/>
              </w:rPr>
              <w:t xml:space="preserve">Do you think clients should have the access to </w:t>
            </w:r>
            <w:r w:rsidR="004D156A" w:rsidRPr="004D156A">
              <w:rPr>
                <w:rFonts w:eastAsia="Times New Roman" w:cs="Calibri"/>
                <w:i/>
              </w:rPr>
              <w:t>information obtained in the defaulters’</w:t>
            </w:r>
            <w:r w:rsidR="004D156A">
              <w:rPr>
                <w:rFonts w:eastAsia="Times New Roman" w:cs="Calibri"/>
                <w:i/>
              </w:rPr>
              <w:t xml:space="preserve"> list?</w:t>
            </w:r>
          </w:p>
          <w:p w:rsidR="004D156A" w:rsidRDefault="004D156A" w:rsidP="004D156A">
            <w:pPr>
              <w:pStyle w:val="ListParagraph"/>
              <w:numPr>
                <w:ilvl w:val="0"/>
                <w:numId w:val="26"/>
              </w:numPr>
              <w:autoSpaceDE w:val="0"/>
              <w:autoSpaceDN w:val="0"/>
              <w:adjustRightInd w:val="0"/>
              <w:spacing w:after="0" w:line="240" w:lineRule="auto"/>
              <w:jc w:val="both"/>
              <w:rPr>
                <w:rFonts w:eastAsia="Times New Roman" w:cs="Calibri"/>
                <w:i/>
              </w:rPr>
            </w:pPr>
            <w:r w:rsidRPr="004D156A">
              <w:rPr>
                <w:rFonts w:eastAsia="Times New Roman" w:cs="Calibri"/>
                <w:i/>
              </w:rPr>
              <w:t xml:space="preserve">Yes </w:t>
            </w:r>
          </w:p>
          <w:p w:rsidR="004D156A" w:rsidRPr="004D156A" w:rsidRDefault="004D156A" w:rsidP="004D156A">
            <w:pPr>
              <w:pStyle w:val="ListParagraph"/>
              <w:numPr>
                <w:ilvl w:val="0"/>
                <w:numId w:val="26"/>
              </w:numPr>
              <w:autoSpaceDE w:val="0"/>
              <w:autoSpaceDN w:val="0"/>
              <w:adjustRightInd w:val="0"/>
              <w:spacing w:after="0" w:line="240" w:lineRule="auto"/>
              <w:jc w:val="both"/>
              <w:rPr>
                <w:rFonts w:eastAsia="Times New Roman" w:cs="Calibri"/>
                <w:i/>
              </w:rPr>
            </w:pPr>
            <w:r w:rsidRPr="004D156A">
              <w:rPr>
                <w:rFonts w:eastAsia="Times New Roman" w:cs="Calibri"/>
                <w:i/>
              </w:rPr>
              <w:t>No</w:t>
            </w:r>
          </w:p>
          <w:p w:rsidR="00680E93" w:rsidRDefault="00680E93" w:rsidP="00680E93">
            <w:pPr>
              <w:autoSpaceDE w:val="0"/>
              <w:autoSpaceDN w:val="0"/>
              <w:adjustRightInd w:val="0"/>
              <w:spacing w:after="0" w:line="240" w:lineRule="auto"/>
              <w:jc w:val="both"/>
              <w:rPr>
                <w:rFonts w:eastAsia="Times New Roman" w:cs="Calibri"/>
                <w:i/>
              </w:rPr>
            </w:pPr>
          </w:p>
          <w:p w:rsidR="003C27F0" w:rsidRPr="00680E93" w:rsidRDefault="003C27F0" w:rsidP="00680E93">
            <w:pPr>
              <w:autoSpaceDE w:val="0"/>
              <w:autoSpaceDN w:val="0"/>
              <w:adjustRightInd w:val="0"/>
              <w:spacing w:after="0" w:line="240" w:lineRule="auto"/>
              <w:jc w:val="both"/>
              <w:rPr>
                <w:rFonts w:eastAsia="Times New Roman" w:cs="Calibri"/>
                <w:i/>
              </w:rPr>
            </w:pPr>
          </w:p>
          <w:p w:rsidR="00680E93" w:rsidRPr="00680E93" w:rsidRDefault="00680E93" w:rsidP="00680E93">
            <w:pPr>
              <w:autoSpaceDE w:val="0"/>
              <w:autoSpaceDN w:val="0"/>
              <w:adjustRightInd w:val="0"/>
              <w:spacing w:after="0" w:line="240" w:lineRule="auto"/>
              <w:jc w:val="both"/>
              <w:rPr>
                <w:rFonts w:eastAsia="Times New Roman" w:cs="Calibri"/>
                <w:i/>
              </w:rPr>
            </w:pPr>
          </w:p>
          <w:p w:rsidR="00680E93" w:rsidRPr="00680E93" w:rsidRDefault="00680E93" w:rsidP="00680E93">
            <w:pPr>
              <w:autoSpaceDE w:val="0"/>
              <w:autoSpaceDN w:val="0"/>
              <w:adjustRightInd w:val="0"/>
              <w:spacing w:after="0" w:line="240" w:lineRule="auto"/>
              <w:jc w:val="both"/>
              <w:rPr>
                <w:rFonts w:eastAsia="Times New Roman" w:cs="Calibri"/>
                <w:i/>
                <w:lang w:val="en-US"/>
              </w:rPr>
            </w:pPr>
          </w:p>
        </w:tc>
      </w:tr>
    </w:tbl>
    <w:p w:rsidR="00D368FB" w:rsidRPr="005D31F9" w:rsidRDefault="00BB4841" w:rsidP="007D789A">
      <w:pPr>
        <w:autoSpaceDE w:val="0"/>
        <w:autoSpaceDN w:val="0"/>
        <w:adjustRightInd w:val="0"/>
        <w:spacing w:after="0" w:line="240" w:lineRule="auto"/>
        <w:jc w:val="both"/>
        <w:rPr>
          <w:rFonts w:eastAsia="Times New Roman" w:cs="Calibri"/>
          <w:b/>
          <w:lang w:val="en-US"/>
        </w:rPr>
      </w:pPr>
      <w:r w:rsidRPr="005D31F9">
        <w:rPr>
          <w:rFonts w:eastAsia="Times New Roman" w:cs="Calibri"/>
          <w:b/>
          <w:lang w:val="en-US"/>
        </w:rPr>
        <w:lastRenderedPageBreak/>
        <w:t xml:space="preserve">    </w:t>
      </w:r>
      <w:r w:rsidR="00D368FB" w:rsidRPr="005D31F9">
        <w:rPr>
          <w:rFonts w:eastAsia="Times New Roman" w:cs="Calibri"/>
          <w:b/>
          <w:lang w:val="en-US"/>
        </w:rPr>
        <w:t xml:space="preserve">           </w:t>
      </w:r>
    </w:p>
    <w:p w:rsidR="001C44EF" w:rsidRPr="005D31F9" w:rsidRDefault="001C44EF" w:rsidP="007D789A">
      <w:pPr>
        <w:autoSpaceDE w:val="0"/>
        <w:autoSpaceDN w:val="0"/>
        <w:adjustRightInd w:val="0"/>
        <w:spacing w:after="0" w:line="240" w:lineRule="auto"/>
        <w:jc w:val="both"/>
        <w:rPr>
          <w:rFonts w:eastAsia="Times New Roman" w:cs="Calibri"/>
          <w:b/>
          <w:lang w:val="en-US"/>
        </w:rPr>
      </w:pPr>
    </w:p>
    <w:p w:rsidR="001C44EF" w:rsidRDefault="001C44EF" w:rsidP="007D789A">
      <w:pPr>
        <w:autoSpaceDE w:val="0"/>
        <w:autoSpaceDN w:val="0"/>
        <w:adjustRightInd w:val="0"/>
        <w:spacing w:after="0" w:line="240" w:lineRule="auto"/>
        <w:jc w:val="both"/>
        <w:rPr>
          <w:rFonts w:eastAsia="Times New Roman" w:cs="Calibri"/>
          <w:b/>
          <w:lang w:val="en-US"/>
        </w:rPr>
      </w:pPr>
    </w:p>
    <w:p w:rsidR="00D973EA" w:rsidRDefault="00D973EA" w:rsidP="007D789A">
      <w:pPr>
        <w:autoSpaceDE w:val="0"/>
        <w:autoSpaceDN w:val="0"/>
        <w:adjustRightInd w:val="0"/>
        <w:spacing w:after="0" w:line="240" w:lineRule="auto"/>
        <w:jc w:val="both"/>
        <w:rPr>
          <w:rFonts w:eastAsia="Times New Roman" w:cs="Calibri"/>
          <w:b/>
          <w:lang w:val="en-US"/>
        </w:rPr>
      </w:pPr>
    </w:p>
    <w:p w:rsidR="00D973EA" w:rsidRDefault="00D973EA" w:rsidP="007D789A">
      <w:pPr>
        <w:autoSpaceDE w:val="0"/>
        <w:autoSpaceDN w:val="0"/>
        <w:adjustRightInd w:val="0"/>
        <w:spacing w:after="0" w:line="240" w:lineRule="auto"/>
        <w:jc w:val="both"/>
        <w:rPr>
          <w:rFonts w:eastAsia="Times New Roman" w:cs="Calibri"/>
          <w:b/>
          <w:lang w:val="en-US"/>
        </w:rPr>
      </w:pPr>
    </w:p>
    <w:p w:rsidR="00D973EA" w:rsidRDefault="00D973EA" w:rsidP="007D789A">
      <w:pPr>
        <w:autoSpaceDE w:val="0"/>
        <w:autoSpaceDN w:val="0"/>
        <w:adjustRightInd w:val="0"/>
        <w:spacing w:after="0" w:line="240" w:lineRule="auto"/>
        <w:jc w:val="both"/>
        <w:rPr>
          <w:rFonts w:eastAsia="Times New Roman" w:cs="Calibri"/>
          <w:b/>
          <w:lang w:val="en-US"/>
        </w:rPr>
      </w:pPr>
    </w:p>
    <w:p w:rsidR="00D973EA" w:rsidRDefault="00D973EA" w:rsidP="007D789A">
      <w:pPr>
        <w:autoSpaceDE w:val="0"/>
        <w:autoSpaceDN w:val="0"/>
        <w:adjustRightInd w:val="0"/>
        <w:spacing w:after="0" w:line="240" w:lineRule="auto"/>
        <w:jc w:val="both"/>
        <w:rPr>
          <w:rFonts w:eastAsia="Times New Roman" w:cs="Calibri"/>
          <w:b/>
          <w:lang w:val="en-US"/>
        </w:rPr>
      </w:pPr>
    </w:p>
    <w:p w:rsidR="00D973EA" w:rsidRDefault="00D973EA" w:rsidP="007D789A">
      <w:pPr>
        <w:autoSpaceDE w:val="0"/>
        <w:autoSpaceDN w:val="0"/>
        <w:adjustRightInd w:val="0"/>
        <w:spacing w:after="0" w:line="240" w:lineRule="auto"/>
        <w:jc w:val="both"/>
        <w:rPr>
          <w:rFonts w:eastAsia="Times New Roman" w:cs="Calibri"/>
          <w:b/>
          <w:lang w:val="en-US"/>
        </w:rPr>
      </w:pPr>
    </w:p>
    <w:p w:rsidR="000C41F6" w:rsidRDefault="000C41F6" w:rsidP="007D789A">
      <w:pPr>
        <w:autoSpaceDE w:val="0"/>
        <w:autoSpaceDN w:val="0"/>
        <w:adjustRightInd w:val="0"/>
        <w:spacing w:after="0" w:line="240" w:lineRule="auto"/>
        <w:jc w:val="both"/>
        <w:rPr>
          <w:rFonts w:eastAsia="Times New Roman" w:cs="Calibri"/>
          <w:b/>
          <w:lang w:val="en-US"/>
        </w:rPr>
      </w:pPr>
    </w:p>
    <w:p w:rsidR="000C41F6" w:rsidRDefault="000C41F6" w:rsidP="007D789A">
      <w:pPr>
        <w:autoSpaceDE w:val="0"/>
        <w:autoSpaceDN w:val="0"/>
        <w:adjustRightInd w:val="0"/>
        <w:spacing w:after="0" w:line="240" w:lineRule="auto"/>
        <w:jc w:val="both"/>
        <w:rPr>
          <w:rFonts w:eastAsia="Times New Roman" w:cs="Calibri"/>
          <w:b/>
          <w:lang w:val="en-US"/>
        </w:rPr>
      </w:pPr>
    </w:p>
    <w:p w:rsidR="000C41F6" w:rsidRDefault="000C41F6" w:rsidP="007D789A">
      <w:pPr>
        <w:autoSpaceDE w:val="0"/>
        <w:autoSpaceDN w:val="0"/>
        <w:adjustRightInd w:val="0"/>
        <w:spacing w:after="0" w:line="240" w:lineRule="auto"/>
        <w:jc w:val="both"/>
        <w:rPr>
          <w:rFonts w:eastAsia="Times New Roman" w:cs="Calibri"/>
          <w:b/>
          <w:lang w:val="en-US"/>
        </w:rPr>
      </w:pPr>
    </w:p>
    <w:p w:rsidR="000C41F6" w:rsidRDefault="000C41F6" w:rsidP="007D789A">
      <w:pPr>
        <w:autoSpaceDE w:val="0"/>
        <w:autoSpaceDN w:val="0"/>
        <w:adjustRightInd w:val="0"/>
        <w:spacing w:after="0" w:line="240" w:lineRule="auto"/>
        <w:jc w:val="both"/>
        <w:rPr>
          <w:rFonts w:eastAsia="Times New Roman" w:cs="Calibri"/>
          <w:b/>
          <w:lang w:val="en-US"/>
        </w:rPr>
      </w:pPr>
    </w:p>
    <w:p w:rsidR="000C41F6" w:rsidRDefault="000C41F6" w:rsidP="007D789A">
      <w:pPr>
        <w:autoSpaceDE w:val="0"/>
        <w:autoSpaceDN w:val="0"/>
        <w:adjustRightInd w:val="0"/>
        <w:spacing w:after="0" w:line="240" w:lineRule="auto"/>
        <w:jc w:val="both"/>
        <w:rPr>
          <w:rFonts w:eastAsia="Times New Roman" w:cs="Calibri"/>
          <w:b/>
          <w:lang w:val="en-US"/>
        </w:rPr>
      </w:pPr>
    </w:p>
    <w:p w:rsidR="000C41F6" w:rsidRDefault="000C41F6" w:rsidP="007D789A">
      <w:pPr>
        <w:autoSpaceDE w:val="0"/>
        <w:autoSpaceDN w:val="0"/>
        <w:adjustRightInd w:val="0"/>
        <w:spacing w:after="0" w:line="240" w:lineRule="auto"/>
        <w:jc w:val="both"/>
        <w:rPr>
          <w:rFonts w:eastAsia="Times New Roman" w:cs="Calibri"/>
          <w:b/>
          <w:lang w:val="en-US"/>
        </w:rPr>
      </w:pPr>
    </w:p>
    <w:p w:rsidR="000C41F6" w:rsidRDefault="000C41F6" w:rsidP="007D789A">
      <w:pPr>
        <w:autoSpaceDE w:val="0"/>
        <w:autoSpaceDN w:val="0"/>
        <w:adjustRightInd w:val="0"/>
        <w:spacing w:after="0" w:line="240" w:lineRule="auto"/>
        <w:jc w:val="both"/>
        <w:rPr>
          <w:rFonts w:eastAsia="Times New Roman" w:cs="Calibri"/>
          <w:b/>
          <w:lang w:val="en-US"/>
        </w:rPr>
      </w:pPr>
    </w:p>
    <w:p w:rsidR="000C41F6" w:rsidRDefault="000C41F6" w:rsidP="007D789A">
      <w:pPr>
        <w:autoSpaceDE w:val="0"/>
        <w:autoSpaceDN w:val="0"/>
        <w:adjustRightInd w:val="0"/>
        <w:spacing w:after="0" w:line="240" w:lineRule="auto"/>
        <w:jc w:val="both"/>
        <w:rPr>
          <w:rFonts w:eastAsia="Times New Roman" w:cs="Calibri"/>
          <w:b/>
          <w:lang w:val="en-US"/>
        </w:rPr>
      </w:pPr>
    </w:p>
    <w:p w:rsidR="000C41F6" w:rsidRDefault="000C41F6" w:rsidP="007D789A">
      <w:pPr>
        <w:autoSpaceDE w:val="0"/>
        <w:autoSpaceDN w:val="0"/>
        <w:adjustRightInd w:val="0"/>
        <w:spacing w:after="0" w:line="240" w:lineRule="auto"/>
        <w:jc w:val="both"/>
        <w:rPr>
          <w:rFonts w:eastAsia="Times New Roman" w:cs="Calibri"/>
          <w:b/>
          <w:lang w:val="en-US"/>
        </w:rPr>
      </w:pPr>
    </w:p>
    <w:p w:rsidR="000C41F6" w:rsidRDefault="000C41F6" w:rsidP="007D789A">
      <w:pPr>
        <w:autoSpaceDE w:val="0"/>
        <w:autoSpaceDN w:val="0"/>
        <w:adjustRightInd w:val="0"/>
        <w:spacing w:after="0" w:line="240" w:lineRule="auto"/>
        <w:jc w:val="both"/>
        <w:rPr>
          <w:rFonts w:eastAsia="Times New Roman" w:cs="Calibri"/>
          <w:b/>
          <w:lang w:val="en-US"/>
        </w:rPr>
      </w:pPr>
    </w:p>
    <w:p w:rsidR="000C41F6" w:rsidRDefault="000C41F6" w:rsidP="007D789A">
      <w:pPr>
        <w:autoSpaceDE w:val="0"/>
        <w:autoSpaceDN w:val="0"/>
        <w:adjustRightInd w:val="0"/>
        <w:spacing w:after="0" w:line="240" w:lineRule="auto"/>
        <w:jc w:val="both"/>
        <w:rPr>
          <w:rFonts w:eastAsia="Times New Roman" w:cs="Calibri"/>
          <w:b/>
          <w:lang w:val="en-US"/>
        </w:rPr>
      </w:pPr>
    </w:p>
    <w:p w:rsidR="000C41F6" w:rsidRDefault="000C41F6" w:rsidP="007D789A">
      <w:pPr>
        <w:autoSpaceDE w:val="0"/>
        <w:autoSpaceDN w:val="0"/>
        <w:adjustRightInd w:val="0"/>
        <w:spacing w:after="0" w:line="240" w:lineRule="auto"/>
        <w:jc w:val="both"/>
        <w:rPr>
          <w:rFonts w:eastAsia="Times New Roman" w:cs="Calibri"/>
          <w:b/>
          <w:lang w:val="en-US"/>
        </w:rPr>
      </w:pPr>
    </w:p>
    <w:p w:rsidR="000C41F6" w:rsidRDefault="000C41F6" w:rsidP="007D789A">
      <w:pPr>
        <w:autoSpaceDE w:val="0"/>
        <w:autoSpaceDN w:val="0"/>
        <w:adjustRightInd w:val="0"/>
        <w:spacing w:after="0" w:line="240" w:lineRule="auto"/>
        <w:jc w:val="both"/>
        <w:rPr>
          <w:rFonts w:eastAsia="Times New Roman" w:cs="Calibri"/>
          <w:b/>
          <w:lang w:val="en-US"/>
        </w:rPr>
      </w:pPr>
    </w:p>
    <w:p w:rsidR="000C41F6" w:rsidRDefault="000C41F6" w:rsidP="007D789A">
      <w:pPr>
        <w:autoSpaceDE w:val="0"/>
        <w:autoSpaceDN w:val="0"/>
        <w:adjustRightInd w:val="0"/>
        <w:spacing w:after="0" w:line="240" w:lineRule="auto"/>
        <w:jc w:val="both"/>
        <w:rPr>
          <w:rFonts w:eastAsia="Times New Roman" w:cs="Calibri"/>
          <w:b/>
          <w:lang w:val="en-US"/>
        </w:rPr>
      </w:pPr>
    </w:p>
    <w:p w:rsidR="000C41F6" w:rsidRDefault="000C41F6" w:rsidP="007D789A">
      <w:pPr>
        <w:autoSpaceDE w:val="0"/>
        <w:autoSpaceDN w:val="0"/>
        <w:adjustRightInd w:val="0"/>
        <w:spacing w:after="0" w:line="240" w:lineRule="auto"/>
        <w:jc w:val="both"/>
        <w:rPr>
          <w:rFonts w:eastAsia="Times New Roman" w:cs="Calibri"/>
          <w:b/>
          <w:lang w:val="en-US"/>
        </w:rPr>
      </w:pPr>
    </w:p>
    <w:p w:rsidR="000C41F6" w:rsidRDefault="000C41F6" w:rsidP="007D789A">
      <w:pPr>
        <w:autoSpaceDE w:val="0"/>
        <w:autoSpaceDN w:val="0"/>
        <w:adjustRightInd w:val="0"/>
        <w:spacing w:after="0" w:line="240" w:lineRule="auto"/>
        <w:jc w:val="both"/>
        <w:rPr>
          <w:rFonts w:eastAsia="Times New Roman" w:cs="Calibri"/>
          <w:b/>
          <w:lang w:val="en-US"/>
        </w:rPr>
      </w:pPr>
    </w:p>
    <w:p w:rsidR="004F5299" w:rsidRDefault="004F5299" w:rsidP="007D789A">
      <w:pPr>
        <w:autoSpaceDE w:val="0"/>
        <w:autoSpaceDN w:val="0"/>
        <w:adjustRightInd w:val="0"/>
        <w:spacing w:after="0" w:line="240" w:lineRule="auto"/>
        <w:jc w:val="both"/>
        <w:rPr>
          <w:rFonts w:eastAsia="Times New Roman" w:cs="Calibri"/>
          <w:b/>
          <w:lang w:val="en-US"/>
        </w:rPr>
      </w:pPr>
    </w:p>
    <w:p w:rsidR="00D973EA" w:rsidRDefault="00D973EA" w:rsidP="007D789A">
      <w:pPr>
        <w:autoSpaceDE w:val="0"/>
        <w:autoSpaceDN w:val="0"/>
        <w:adjustRightInd w:val="0"/>
        <w:spacing w:after="0" w:line="240" w:lineRule="auto"/>
        <w:jc w:val="both"/>
        <w:rPr>
          <w:rFonts w:eastAsia="Times New Roman" w:cs="Calibri"/>
          <w:b/>
          <w:lang w:val="en-US"/>
        </w:rPr>
      </w:pPr>
    </w:p>
    <w:p w:rsidR="00D973EA" w:rsidRDefault="003F7A51" w:rsidP="001C6296">
      <w:pPr>
        <w:numPr>
          <w:ilvl w:val="0"/>
          <w:numId w:val="17"/>
        </w:numPr>
        <w:spacing w:after="0" w:line="240" w:lineRule="auto"/>
        <w:contextualSpacing/>
        <w:rPr>
          <w:rFonts w:eastAsia="Times New Roman" w:cs="Calibri"/>
          <w:b/>
          <w:sz w:val="24"/>
          <w:szCs w:val="24"/>
        </w:rPr>
      </w:pPr>
      <w:r>
        <w:rPr>
          <w:rFonts w:eastAsia="Times New Roman" w:cs="Calibri"/>
          <w:b/>
          <w:sz w:val="24"/>
          <w:szCs w:val="24"/>
        </w:rPr>
        <w:t>D</w:t>
      </w:r>
      <w:r w:rsidR="00D973EA" w:rsidRPr="00D973EA">
        <w:rPr>
          <w:rFonts w:eastAsia="Times New Roman" w:cs="Calibri"/>
          <w:b/>
          <w:sz w:val="24"/>
          <w:szCs w:val="24"/>
        </w:rPr>
        <w:t xml:space="preserve">irect debit of bank accounts for settlement amount </w:t>
      </w:r>
      <w:r w:rsidR="00D973EA">
        <w:rPr>
          <w:rFonts w:eastAsia="Times New Roman" w:cs="Calibri"/>
          <w:b/>
          <w:sz w:val="24"/>
          <w:szCs w:val="24"/>
        </w:rPr>
        <w:t xml:space="preserve"> </w:t>
      </w:r>
    </w:p>
    <w:p w:rsidR="00D973EA" w:rsidRDefault="00D973EA" w:rsidP="007D789A">
      <w:pPr>
        <w:spacing w:after="0" w:line="240" w:lineRule="auto"/>
        <w:ind w:left="720"/>
        <w:contextualSpacing/>
        <w:rPr>
          <w:rFonts w:eastAsia="Times New Roman" w:cs="Calibri"/>
          <w:b/>
          <w:sz w:val="24"/>
          <w:szCs w:val="24"/>
        </w:rPr>
      </w:pPr>
    </w:p>
    <w:tbl>
      <w:tblPr>
        <w:tblStyle w:val="TableGrid"/>
        <w:tblW w:w="0" w:type="auto"/>
        <w:tblInd w:w="720" w:type="dxa"/>
        <w:tblLook w:val="04A0" w:firstRow="1" w:lastRow="0" w:firstColumn="1" w:lastColumn="0" w:noHBand="0" w:noVBand="1"/>
      </w:tblPr>
      <w:tblGrid>
        <w:gridCol w:w="3499"/>
        <w:gridCol w:w="3686"/>
        <w:gridCol w:w="6985"/>
      </w:tblGrid>
      <w:tr w:rsidR="00D973EA" w:rsidTr="001541EE">
        <w:tc>
          <w:tcPr>
            <w:tcW w:w="3499" w:type="dxa"/>
            <w:shd w:val="clear" w:color="auto" w:fill="D9D9D9" w:themeFill="background1" w:themeFillShade="D9"/>
          </w:tcPr>
          <w:p w:rsidR="00D973EA" w:rsidRDefault="00CC0ADC" w:rsidP="007D789A">
            <w:pPr>
              <w:spacing w:after="0" w:line="240" w:lineRule="auto"/>
              <w:contextualSpacing/>
              <w:rPr>
                <w:rFonts w:eastAsia="Times New Roman" w:cs="Calibri"/>
                <w:b/>
                <w:sz w:val="24"/>
                <w:szCs w:val="24"/>
              </w:rPr>
            </w:pPr>
            <w:r w:rsidRPr="00CC0ADC">
              <w:rPr>
                <w:rFonts w:eastAsia="Times New Roman" w:cs="Calibri"/>
                <w:b/>
                <w:sz w:val="24"/>
                <w:szCs w:val="24"/>
              </w:rPr>
              <w:t>Issues and initiatives raised at BRIDGe workshop meetings</w:t>
            </w:r>
          </w:p>
          <w:p w:rsidR="00D973EA" w:rsidRDefault="00D973EA" w:rsidP="007D789A">
            <w:pPr>
              <w:spacing w:after="0" w:line="240" w:lineRule="auto"/>
              <w:contextualSpacing/>
              <w:rPr>
                <w:rFonts w:eastAsia="Times New Roman" w:cs="Calibri"/>
                <w:b/>
                <w:sz w:val="24"/>
                <w:szCs w:val="24"/>
              </w:rPr>
            </w:pPr>
          </w:p>
        </w:tc>
        <w:tc>
          <w:tcPr>
            <w:tcW w:w="3686" w:type="dxa"/>
            <w:shd w:val="clear" w:color="auto" w:fill="D9D9D9" w:themeFill="background1" w:themeFillShade="D9"/>
          </w:tcPr>
          <w:p w:rsidR="00D973EA" w:rsidRDefault="00E74416" w:rsidP="007D789A">
            <w:pPr>
              <w:spacing w:after="0" w:line="240" w:lineRule="auto"/>
              <w:contextualSpacing/>
              <w:rPr>
                <w:rFonts w:eastAsia="Times New Roman" w:cs="Calibri"/>
                <w:b/>
                <w:sz w:val="24"/>
                <w:szCs w:val="24"/>
              </w:rPr>
            </w:pPr>
            <w:r>
              <w:rPr>
                <w:rFonts w:eastAsia="Times New Roman" w:cs="Calibri"/>
                <w:b/>
                <w:sz w:val="24"/>
                <w:szCs w:val="24"/>
              </w:rPr>
              <w:t>Proposal</w:t>
            </w:r>
          </w:p>
        </w:tc>
        <w:tc>
          <w:tcPr>
            <w:tcW w:w="6985" w:type="dxa"/>
            <w:shd w:val="clear" w:color="auto" w:fill="D9D9D9" w:themeFill="background1" w:themeFillShade="D9"/>
          </w:tcPr>
          <w:p w:rsidR="00D973EA" w:rsidRDefault="00E83BEA" w:rsidP="007D789A">
            <w:pPr>
              <w:spacing w:after="0" w:line="240" w:lineRule="auto"/>
              <w:contextualSpacing/>
              <w:rPr>
                <w:rFonts w:eastAsia="Times New Roman" w:cs="Calibri"/>
                <w:b/>
                <w:sz w:val="24"/>
                <w:szCs w:val="24"/>
              </w:rPr>
            </w:pPr>
            <w:r>
              <w:rPr>
                <w:rFonts w:eastAsia="Times New Roman" w:cs="Calibri"/>
                <w:b/>
                <w:sz w:val="24"/>
                <w:szCs w:val="24"/>
              </w:rPr>
              <w:t xml:space="preserve">Questions for </w:t>
            </w:r>
            <w:r w:rsidR="00D973EA">
              <w:rPr>
                <w:rFonts w:eastAsia="Times New Roman" w:cs="Calibri"/>
                <w:b/>
                <w:sz w:val="24"/>
                <w:szCs w:val="24"/>
              </w:rPr>
              <w:t>Member</w:t>
            </w:r>
            <w:r>
              <w:rPr>
                <w:rFonts w:eastAsia="Times New Roman" w:cs="Calibri"/>
                <w:b/>
                <w:sz w:val="24"/>
                <w:szCs w:val="24"/>
              </w:rPr>
              <w:t>s</w:t>
            </w:r>
          </w:p>
        </w:tc>
      </w:tr>
      <w:tr w:rsidR="00D973EA" w:rsidTr="001541EE">
        <w:tc>
          <w:tcPr>
            <w:tcW w:w="3499" w:type="dxa"/>
          </w:tcPr>
          <w:p w:rsidR="00D973EA" w:rsidRDefault="00A255AF" w:rsidP="007D789A">
            <w:pPr>
              <w:spacing w:after="0" w:line="240" w:lineRule="auto"/>
              <w:contextualSpacing/>
              <w:rPr>
                <w:rFonts w:eastAsia="Times New Roman" w:cs="Calibri"/>
                <w:sz w:val="24"/>
                <w:szCs w:val="24"/>
              </w:rPr>
            </w:pPr>
            <w:r>
              <w:rPr>
                <w:rFonts w:eastAsia="Times New Roman" w:cs="Calibri"/>
                <w:sz w:val="24"/>
                <w:szCs w:val="24"/>
              </w:rPr>
              <w:t>Without direct debit</w:t>
            </w:r>
            <w:r w:rsidR="007700F5">
              <w:rPr>
                <w:rFonts w:eastAsia="Times New Roman" w:cs="Calibri"/>
                <w:sz w:val="24"/>
                <w:szCs w:val="24"/>
              </w:rPr>
              <w:t xml:space="preserve"> banking facility</w:t>
            </w:r>
            <w:r>
              <w:rPr>
                <w:rFonts w:eastAsia="Times New Roman" w:cs="Calibri"/>
                <w:sz w:val="24"/>
                <w:szCs w:val="24"/>
              </w:rPr>
              <w:t xml:space="preserve">, </w:t>
            </w:r>
            <w:r w:rsidR="00D973EA">
              <w:rPr>
                <w:rFonts w:eastAsia="Times New Roman" w:cs="Calibri"/>
                <w:sz w:val="24"/>
                <w:szCs w:val="24"/>
              </w:rPr>
              <w:t>investor</w:t>
            </w:r>
            <w:r w:rsidR="0083552B">
              <w:rPr>
                <w:rFonts w:eastAsia="Times New Roman" w:cs="Calibri"/>
                <w:sz w:val="24"/>
                <w:szCs w:val="24"/>
              </w:rPr>
              <w:t>s</w:t>
            </w:r>
            <w:r w:rsidR="00D973EA">
              <w:rPr>
                <w:rFonts w:eastAsia="Times New Roman" w:cs="Calibri"/>
                <w:sz w:val="24"/>
                <w:szCs w:val="24"/>
              </w:rPr>
              <w:t xml:space="preserve"> </w:t>
            </w:r>
            <w:r w:rsidR="00806160">
              <w:rPr>
                <w:rFonts w:eastAsia="Times New Roman" w:cs="Calibri"/>
                <w:sz w:val="24"/>
                <w:szCs w:val="24"/>
              </w:rPr>
              <w:t>ha</w:t>
            </w:r>
            <w:r w:rsidR="0083552B">
              <w:rPr>
                <w:rFonts w:eastAsia="Times New Roman" w:cs="Calibri"/>
                <w:sz w:val="24"/>
                <w:szCs w:val="24"/>
              </w:rPr>
              <w:t>ve</w:t>
            </w:r>
            <w:r w:rsidR="00D973EA">
              <w:rPr>
                <w:rFonts w:eastAsia="Times New Roman" w:cs="Calibri"/>
                <w:sz w:val="24"/>
                <w:szCs w:val="24"/>
              </w:rPr>
              <w:t xml:space="preserve"> </w:t>
            </w:r>
            <w:r w:rsidR="00C96A22">
              <w:rPr>
                <w:rFonts w:eastAsia="Times New Roman" w:cs="Calibri"/>
                <w:sz w:val="24"/>
                <w:szCs w:val="24"/>
              </w:rPr>
              <w:t>to</w:t>
            </w:r>
            <w:r>
              <w:rPr>
                <w:rFonts w:eastAsia="Times New Roman" w:cs="Calibri"/>
                <w:sz w:val="24"/>
                <w:szCs w:val="24"/>
              </w:rPr>
              <w:t xml:space="preserve"> initiate payment for </w:t>
            </w:r>
            <w:r w:rsidR="00D85ABA">
              <w:rPr>
                <w:rFonts w:eastAsia="Times New Roman" w:cs="Calibri"/>
                <w:sz w:val="24"/>
                <w:szCs w:val="24"/>
              </w:rPr>
              <w:t>their trade</w:t>
            </w:r>
            <w:r>
              <w:rPr>
                <w:rFonts w:eastAsia="Times New Roman" w:cs="Calibri"/>
                <w:sz w:val="24"/>
                <w:szCs w:val="24"/>
              </w:rPr>
              <w:t xml:space="preserve"> settlement</w:t>
            </w:r>
            <w:r w:rsidR="0083552B">
              <w:rPr>
                <w:rFonts w:eastAsia="Times New Roman" w:cs="Calibri"/>
                <w:sz w:val="24"/>
                <w:szCs w:val="24"/>
              </w:rPr>
              <w:t xml:space="preserve"> by themselves.</w:t>
            </w:r>
            <w:r>
              <w:rPr>
                <w:rFonts w:eastAsia="Times New Roman" w:cs="Calibri"/>
                <w:sz w:val="24"/>
                <w:szCs w:val="24"/>
              </w:rPr>
              <w:t xml:space="preserve"> </w:t>
            </w:r>
            <w:r w:rsidR="00806160">
              <w:rPr>
                <w:rFonts w:eastAsia="Times New Roman" w:cs="Calibri"/>
                <w:sz w:val="24"/>
                <w:szCs w:val="24"/>
              </w:rPr>
              <w:t xml:space="preserve"> </w:t>
            </w:r>
            <w:r w:rsidR="00D973EA">
              <w:rPr>
                <w:rFonts w:eastAsia="Times New Roman" w:cs="Calibri"/>
                <w:sz w:val="24"/>
                <w:szCs w:val="24"/>
              </w:rPr>
              <w:t xml:space="preserve"> There are cases where investors </w:t>
            </w:r>
            <w:r w:rsidR="00806160">
              <w:rPr>
                <w:rFonts w:eastAsia="Times New Roman" w:cs="Calibri"/>
                <w:sz w:val="24"/>
                <w:szCs w:val="24"/>
              </w:rPr>
              <w:t xml:space="preserve">were too busy or forgot to make payment for </w:t>
            </w:r>
            <w:r w:rsidR="00D973EA">
              <w:rPr>
                <w:rFonts w:eastAsia="Times New Roman" w:cs="Calibri"/>
                <w:sz w:val="24"/>
                <w:szCs w:val="24"/>
              </w:rPr>
              <w:t>their trade</w:t>
            </w:r>
            <w:r w:rsidR="00806160">
              <w:rPr>
                <w:rFonts w:eastAsia="Times New Roman" w:cs="Calibri"/>
                <w:sz w:val="24"/>
                <w:szCs w:val="24"/>
              </w:rPr>
              <w:t xml:space="preserve"> settlement</w:t>
            </w:r>
            <w:r w:rsidR="00C96A22">
              <w:rPr>
                <w:rFonts w:eastAsia="Times New Roman" w:cs="Calibri"/>
                <w:sz w:val="24"/>
                <w:szCs w:val="24"/>
              </w:rPr>
              <w:t>s</w:t>
            </w:r>
            <w:r w:rsidR="00806160">
              <w:rPr>
                <w:rFonts w:eastAsia="Times New Roman" w:cs="Calibri"/>
                <w:sz w:val="24"/>
                <w:szCs w:val="24"/>
              </w:rPr>
              <w:t xml:space="preserve"> </w:t>
            </w:r>
            <w:r w:rsidR="00D973EA">
              <w:rPr>
                <w:rFonts w:eastAsia="Times New Roman" w:cs="Calibri"/>
                <w:sz w:val="24"/>
                <w:szCs w:val="24"/>
              </w:rPr>
              <w:t xml:space="preserve">until morning of T+4. </w:t>
            </w:r>
          </w:p>
          <w:p w:rsidR="00D973EA" w:rsidRDefault="00D973EA" w:rsidP="007D789A">
            <w:pPr>
              <w:spacing w:after="0" w:line="240" w:lineRule="auto"/>
              <w:contextualSpacing/>
              <w:rPr>
                <w:rFonts w:eastAsia="Times New Roman" w:cs="Calibri"/>
                <w:sz w:val="24"/>
                <w:szCs w:val="24"/>
              </w:rPr>
            </w:pPr>
          </w:p>
          <w:p w:rsidR="00F51868" w:rsidRPr="00D973EA" w:rsidRDefault="00F51868" w:rsidP="007D789A">
            <w:pPr>
              <w:spacing w:after="0" w:line="240" w:lineRule="auto"/>
              <w:contextualSpacing/>
              <w:rPr>
                <w:rFonts w:eastAsia="Times New Roman" w:cs="Calibri"/>
                <w:sz w:val="24"/>
                <w:szCs w:val="24"/>
              </w:rPr>
            </w:pPr>
          </w:p>
        </w:tc>
        <w:tc>
          <w:tcPr>
            <w:tcW w:w="3686" w:type="dxa"/>
          </w:tcPr>
          <w:p w:rsidR="00D973EA" w:rsidRDefault="00D85ABA" w:rsidP="007D789A">
            <w:pPr>
              <w:spacing w:after="0" w:line="240" w:lineRule="auto"/>
              <w:contextualSpacing/>
              <w:rPr>
                <w:rFonts w:eastAsia="Times New Roman" w:cs="Calibri"/>
                <w:sz w:val="24"/>
                <w:szCs w:val="24"/>
              </w:rPr>
            </w:pPr>
            <w:r>
              <w:rPr>
                <w:rFonts w:eastAsia="Times New Roman" w:cs="Calibri"/>
                <w:sz w:val="24"/>
                <w:szCs w:val="24"/>
              </w:rPr>
              <w:t>To work with financial institutions on</w:t>
            </w:r>
            <w:r w:rsidR="0083552B">
              <w:rPr>
                <w:rFonts w:eastAsia="Times New Roman" w:cs="Calibri"/>
                <w:sz w:val="24"/>
                <w:szCs w:val="24"/>
              </w:rPr>
              <w:t xml:space="preserve"> mandatory linking of share trading account with client</w:t>
            </w:r>
            <w:r>
              <w:rPr>
                <w:rFonts w:eastAsia="Times New Roman" w:cs="Calibri"/>
                <w:sz w:val="24"/>
                <w:szCs w:val="24"/>
              </w:rPr>
              <w:t>’</w:t>
            </w:r>
            <w:r w:rsidR="0083552B">
              <w:rPr>
                <w:rFonts w:eastAsia="Times New Roman" w:cs="Calibri"/>
                <w:sz w:val="24"/>
                <w:szCs w:val="24"/>
              </w:rPr>
              <w:t>s banking account</w:t>
            </w:r>
            <w:r>
              <w:rPr>
                <w:rFonts w:eastAsia="Times New Roman" w:cs="Calibri"/>
                <w:sz w:val="24"/>
                <w:szCs w:val="24"/>
              </w:rPr>
              <w:t xml:space="preserve"> resulting in</w:t>
            </w:r>
            <w:r w:rsidR="00D973EA">
              <w:rPr>
                <w:rFonts w:eastAsia="Times New Roman" w:cs="Calibri"/>
                <w:sz w:val="24"/>
                <w:szCs w:val="24"/>
              </w:rPr>
              <w:t xml:space="preserve"> direct </w:t>
            </w:r>
            <w:r>
              <w:rPr>
                <w:rFonts w:eastAsia="Times New Roman" w:cs="Calibri"/>
                <w:sz w:val="24"/>
                <w:szCs w:val="24"/>
              </w:rPr>
              <w:t>debiting the</w:t>
            </w:r>
            <w:r w:rsidR="00D973EA">
              <w:rPr>
                <w:rFonts w:eastAsia="Times New Roman" w:cs="Calibri"/>
                <w:sz w:val="24"/>
                <w:szCs w:val="24"/>
              </w:rPr>
              <w:t xml:space="preserve"> settlement amount from an investor’s account at the end of settlement </w:t>
            </w:r>
            <w:r w:rsidR="007646EE">
              <w:rPr>
                <w:rFonts w:eastAsia="Times New Roman" w:cs="Calibri"/>
                <w:sz w:val="24"/>
                <w:szCs w:val="24"/>
              </w:rPr>
              <w:t>day.</w:t>
            </w:r>
          </w:p>
          <w:p w:rsidR="00D85ABA" w:rsidRDefault="00D85ABA" w:rsidP="007D789A">
            <w:pPr>
              <w:spacing w:after="0" w:line="240" w:lineRule="auto"/>
              <w:contextualSpacing/>
              <w:rPr>
                <w:rFonts w:eastAsia="Times New Roman" w:cs="Calibri"/>
                <w:sz w:val="24"/>
                <w:szCs w:val="24"/>
              </w:rPr>
            </w:pPr>
          </w:p>
          <w:p w:rsidR="00D85ABA" w:rsidRDefault="00D85ABA" w:rsidP="007D789A">
            <w:pPr>
              <w:spacing w:after="0" w:line="240" w:lineRule="auto"/>
              <w:contextualSpacing/>
              <w:rPr>
                <w:rFonts w:eastAsia="Times New Roman" w:cs="Calibri"/>
                <w:sz w:val="24"/>
                <w:szCs w:val="24"/>
              </w:rPr>
            </w:pPr>
            <w:r>
              <w:rPr>
                <w:rFonts w:eastAsia="Times New Roman" w:cs="Calibri"/>
                <w:sz w:val="24"/>
                <w:szCs w:val="24"/>
              </w:rPr>
              <w:t>This will result in  an efficient settlement to the industry.</w:t>
            </w:r>
          </w:p>
          <w:p w:rsidR="00D85ABA" w:rsidRDefault="00D85ABA" w:rsidP="007D789A">
            <w:pPr>
              <w:spacing w:after="0" w:line="240" w:lineRule="auto"/>
              <w:contextualSpacing/>
              <w:rPr>
                <w:rFonts w:eastAsia="Times New Roman" w:cs="Calibri"/>
                <w:sz w:val="24"/>
                <w:szCs w:val="24"/>
              </w:rPr>
            </w:pPr>
          </w:p>
          <w:p w:rsidR="007646EE" w:rsidRDefault="007646EE" w:rsidP="007D789A">
            <w:pPr>
              <w:spacing w:after="0" w:line="240" w:lineRule="auto"/>
              <w:contextualSpacing/>
              <w:rPr>
                <w:rFonts w:eastAsia="Times New Roman" w:cs="Calibri"/>
                <w:sz w:val="24"/>
                <w:szCs w:val="24"/>
              </w:rPr>
            </w:pPr>
          </w:p>
          <w:p w:rsidR="007646EE" w:rsidRPr="00D973EA" w:rsidRDefault="007646EE" w:rsidP="007D789A">
            <w:pPr>
              <w:spacing w:after="0" w:line="240" w:lineRule="auto"/>
              <w:contextualSpacing/>
              <w:rPr>
                <w:rFonts w:eastAsia="Times New Roman" w:cs="Calibri"/>
                <w:sz w:val="24"/>
                <w:szCs w:val="24"/>
              </w:rPr>
            </w:pPr>
          </w:p>
        </w:tc>
        <w:tc>
          <w:tcPr>
            <w:tcW w:w="6985" w:type="dxa"/>
          </w:tcPr>
          <w:p w:rsidR="001541EE" w:rsidRPr="001541EE" w:rsidRDefault="007646EE" w:rsidP="007D789A">
            <w:pPr>
              <w:spacing w:after="0" w:line="240" w:lineRule="auto"/>
              <w:contextualSpacing/>
              <w:rPr>
                <w:rFonts w:eastAsia="Times New Roman" w:cs="Calibri"/>
                <w:i/>
                <w:sz w:val="24"/>
                <w:szCs w:val="24"/>
              </w:rPr>
            </w:pPr>
            <w:r>
              <w:rPr>
                <w:rFonts w:eastAsia="Times New Roman" w:cs="Calibri"/>
                <w:i/>
                <w:sz w:val="24"/>
                <w:szCs w:val="24"/>
              </w:rPr>
              <w:t xml:space="preserve">Question 1: </w:t>
            </w:r>
            <w:r w:rsidRPr="007646EE">
              <w:rPr>
                <w:rFonts w:eastAsia="Times New Roman" w:cs="Calibri"/>
                <w:i/>
                <w:sz w:val="24"/>
                <w:szCs w:val="24"/>
              </w:rPr>
              <w:t>Do you agree with this proposal</w:t>
            </w:r>
            <w:r>
              <w:rPr>
                <w:rFonts w:eastAsia="Times New Roman" w:cs="Calibri"/>
                <w:i/>
                <w:sz w:val="24"/>
                <w:szCs w:val="24"/>
              </w:rPr>
              <w:t>?</w:t>
            </w:r>
            <w:r w:rsidR="001541EE">
              <w:rPr>
                <w:rFonts w:eastAsia="Times New Roman" w:cs="Calibri"/>
                <w:i/>
                <w:sz w:val="24"/>
                <w:szCs w:val="24"/>
              </w:rPr>
              <w:t xml:space="preserve"> </w:t>
            </w:r>
            <w:r w:rsidR="001541EE" w:rsidRPr="001541EE">
              <w:rPr>
                <w:rFonts w:eastAsia="Times New Roman" w:cs="Calibri"/>
                <w:i/>
                <w:sz w:val="24"/>
                <w:szCs w:val="24"/>
              </w:rPr>
              <w:t>(Yes / No)</w:t>
            </w:r>
          </w:p>
          <w:p w:rsidR="007646EE" w:rsidRDefault="007646EE" w:rsidP="007D789A">
            <w:pPr>
              <w:spacing w:after="0" w:line="240" w:lineRule="auto"/>
              <w:contextualSpacing/>
              <w:rPr>
                <w:rFonts w:eastAsia="Times New Roman" w:cs="Calibri"/>
                <w:i/>
                <w:sz w:val="24"/>
                <w:szCs w:val="24"/>
              </w:rPr>
            </w:pPr>
          </w:p>
          <w:p w:rsidR="007646EE" w:rsidRDefault="007646EE" w:rsidP="007D789A">
            <w:pPr>
              <w:spacing w:after="0" w:line="240" w:lineRule="auto"/>
              <w:contextualSpacing/>
              <w:rPr>
                <w:rFonts w:eastAsia="Times New Roman" w:cs="Calibri"/>
                <w:i/>
                <w:sz w:val="24"/>
                <w:szCs w:val="24"/>
              </w:rPr>
            </w:pPr>
          </w:p>
          <w:p w:rsidR="007646EE" w:rsidRDefault="007646EE" w:rsidP="007D789A">
            <w:pPr>
              <w:spacing w:after="0" w:line="240" w:lineRule="auto"/>
              <w:contextualSpacing/>
              <w:rPr>
                <w:rFonts w:eastAsia="Times New Roman" w:cs="Calibri"/>
                <w:i/>
                <w:sz w:val="24"/>
                <w:szCs w:val="24"/>
              </w:rPr>
            </w:pPr>
            <w:r>
              <w:rPr>
                <w:rFonts w:eastAsia="Times New Roman" w:cs="Calibri"/>
                <w:i/>
                <w:sz w:val="24"/>
                <w:szCs w:val="24"/>
              </w:rPr>
              <w:t xml:space="preserve">Question 2: If you do not agree with this proposal, please explain </w:t>
            </w:r>
            <w:r w:rsidR="00E83BEA">
              <w:rPr>
                <w:rFonts w:eastAsia="Times New Roman" w:cs="Calibri"/>
                <w:i/>
                <w:sz w:val="24"/>
                <w:szCs w:val="24"/>
              </w:rPr>
              <w:t xml:space="preserve">below, </w:t>
            </w:r>
            <w:r>
              <w:rPr>
                <w:rFonts w:eastAsia="Times New Roman" w:cs="Calibri"/>
                <w:i/>
                <w:sz w:val="24"/>
                <w:szCs w:val="24"/>
              </w:rPr>
              <w:t xml:space="preserve">the issues/reasons that </w:t>
            </w:r>
            <w:r w:rsidR="00C521FF">
              <w:rPr>
                <w:rFonts w:eastAsia="Times New Roman" w:cs="Calibri"/>
                <w:i/>
                <w:sz w:val="24"/>
                <w:szCs w:val="24"/>
              </w:rPr>
              <w:t xml:space="preserve">make </w:t>
            </w:r>
            <w:r>
              <w:rPr>
                <w:rFonts w:eastAsia="Times New Roman" w:cs="Calibri"/>
                <w:i/>
                <w:sz w:val="24"/>
                <w:szCs w:val="24"/>
              </w:rPr>
              <w:t>this proposal</w:t>
            </w:r>
            <w:r w:rsidR="00C521FF">
              <w:rPr>
                <w:rFonts w:eastAsia="Times New Roman" w:cs="Calibri"/>
                <w:i/>
                <w:sz w:val="24"/>
                <w:szCs w:val="24"/>
              </w:rPr>
              <w:t xml:space="preserve"> </w:t>
            </w:r>
            <w:r>
              <w:rPr>
                <w:rFonts w:eastAsia="Times New Roman" w:cs="Calibri"/>
                <w:i/>
                <w:sz w:val="24"/>
                <w:szCs w:val="24"/>
              </w:rPr>
              <w:t xml:space="preserve">not feasible. </w:t>
            </w:r>
          </w:p>
          <w:p w:rsidR="00E83BEA" w:rsidRDefault="00E83BEA" w:rsidP="007D789A">
            <w:pPr>
              <w:spacing w:after="0" w:line="240" w:lineRule="auto"/>
              <w:contextualSpacing/>
              <w:rPr>
                <w:rFonts w:eastAsia="Times New Roman" w:cs="Calibri"/>
                <w:i/>
                <w:sz w:val="24"/>
                <w:szCs w:val="24"/>
              </w:rPr>
            </w:pPr>
          </w:p>
          <w:p w:rsidR="007646EE" w:rsidRDefault="007646EE" w:rsidP="007D789A">
            <w:pPr>
              <w:spacing w:after="0" w:line="240" w:lineRule="auto"/>
              <w:contextualSpacing/>
              <w:rPr>
                <w:rFonts w:eastAsia="Times New Roman" w:cs="Calibri"/>
                <w:i/>
                <w:sz w:val="24"/>
                <w:szCs w:val="24"/>
              </w:rPr>
            </w:pPr>
          </w:p>
          <w:p w:rsidR="007646EE" w:rsidRDefault="007646EE" w:rsidP="007D789A">
            <w:pPr>
              <w:spacing w:after="0" w:line="240" w:lineRule="auto"/>
              <w:contextualSpacing/>
              <w:rPr>
                <w:rFonts w:eastAsia="Times New Roman" w:cs="Calibri"/>
                <w:i/>
                <w:sz w:val="24"/>
                <w:szCs w:val="24"/>
              </w:rPr>
            </w:pPr>
          </w:p>
          <w:p w:rsidR="007646EE" w:rsidRDefault="007646EE" w:rsidP="007D789A">
            <w:pPr>
              <w:spacing w:after="0" w:line="240" w:lineRule="auto"/>
              <w:contextualSpacing/>
              <w:rPr>
                <w:rFonts w:eastAsia="Times New Roman" w:cs="Calibri"/>
                <w:i/>
                <w:sz w:val="24"/>
                <w:szCs w:val="24"/>
              </w:rPr>
            </w:pPr>
            <w:r>
              <w:rPr>
                <w:rFonts w:eastAsia="Times New Roman" w:cs="Calibri"/>
                <w:i/>
                <w:sz w:val="24"/>
                <w:szCs w:val="24"/>
              </w:rPr>
              <w:t>Question 3: Any other comment</w:t>
            </w:r>
          </w:p>
          <w:p w:rsidR="007646EE" w:rsidRDefault="007646EE" w:rsidP="007D789A">
            <w:pPr>
              <w:spacing w:after="0" w:line="240" w:lineRule="auto"/>
              <w:contextualSpacing/>
              <w:rPr>
                <w:rFonts w:eastAsia="Times New Roman" w:cs="Calibri"/>
                <w:i/>
                <w:sz w:val="24"/>
                <w:szCs w:val="24"/>
              </w:rPr>
            </w:pPr>
          </w:p>
          <w:p w:rsidR="007646EE" w:rsidRDefault="007646EE" w:rsidP="007D789A">
            <w:pPr>
              <w:spacing w:after="0" w:line="240" w:lineRule="auto"/>
              <w:contextualSpacing/>
              <w:rPr>
                <w:rFonts w:eastAsia="Times New Roman" w:cs="Calibri"/>
                <w:i/>
                <w:sz w:val="24"/>
                <w:szCs w:val="24"/>
              </w:rPr>
            </w:pPr>
          </w:p>
          <w:p w:rsidR="007646EE" w:rsidRDefault="007646EE" w:rsidP="007D789A">
            <w:pPr>
              <w:spacing w:after="0" w:line="240" w:lineRule="auto"/>
              <w:contextualSpacing/>
              <w:rPr>
                <w:rFonts w:eastAsia="Times New Roman" w:cs="Calibri"/>
                <w:i/>
                <w:sz w:val="24"/>
                <w:szCs w:val="24"/>
              </w:rPr>
            </w:pPr>
          </w:p>
          <w:p w:rsidR="007646EE" w:rsidRPr="007646EE" w:rsidRDefault="007646EE" w:rsidP="007D789A">
            <w:pPr>
              <w:spacing w:after="0" w:line="240" w:lineRule="auto"/>
              <w:contextualSpacing/>
              <w:rPr>
                <w:rFonts w:eastAsia="Times New Roman" w:cs="Calibri"/>
                <w:i/>
                <w:sz w:val="24"/>
                <w:szCs w:val="24"/>
              </w:rPr>
            </w:pPr>
          </w:p>
        </w:tc>
      </w:tr>
    </w:tbl>
    <w:p w:rsidR="00D973EA" w:rsidRDefault="00D973EA" w:rsidP="007D789A">
      <w:pPr>
        <w:spacing w:after="0" w:line="240" w:lineRule="auto"/>
        <w:ind w:left="720"/>
        <w:contextualSpacing/>
        <w:rPr>
          <w:rFonts w:eastAsia="Times New Roman" w:cs="Calibri"/>
          <w:b/>
          <w:sz w:val="24"/>
          <w:szCs w:val="24"/>
        </w:rPr>
      </w:pPr>
    </w:p>
    <w:p w:rsidR="001541EE" w:rsidRDefault="001541EE" w:rsidP="007D789A">
      <w:pPr>
        <w:spacing w:after="0" w:line="240" w:lineRule="auto"/>
        <w:ind w:left="720"/>
        <w:contextualSpacing/>
        <w:rPr>
          <w:rFonts w:eastAsia="Times New Roman" w:cs="Calibri"/>
          <w:b/>
          <w:sz w:val="24"/>
          <w:szCs w:val="24"/>
        </w:rPr>
      </w:pPr>
    </w:p>
    <w:p w:rsidR="001541EE" w:rsidRDefault="001541EE" w:rsidP="007D789A">
      <w:pPr>
        <w:spacing w:after="0" w:line="240" w:lineRule="auto"/>
        <w:ind w:left="720"/>
        <w:contextualSpacing/>
        <w:rPr>
          <w:rFonts w:eastAsia="Times New Roman" w:cs="Calibri"/>
          <w:b/>
          <w:sz w:val="24"/>
          <w:szCs w:val="24"/>
        </w:rPr>
      </w:pPr>
    </w:p>
    <w:p w:rsidR="001541EE" w:rsidRDefault="001541EE" w:rsidP="007D789A">
      <w:pPr>
        <w:spacing w:after="0" w:line="240" w:lineRule="auto"/>
        <w:ind w:left="720"/>
        <w:contextualSpacing/>
        <w:rPr>
          <w:rFonts w:eastAsia="Times New Roman" w:cs="Calibri"/>
          <w:b/>
          <w:sz w:val="24"/>
          <w:szCs w:val="24"/>
        </w:rPr>
      </w:pPr>
    </w:p>
    <w:p w:rsidR="001541EE" w:rsidRDefault="001541EE" w:rsidP="007D789A">
      <w:pPr>
        <w:spacing w:after="0" w:line="240" w:lineRule="auto"/>
        <w:ind w:left="720"/>
        <w:contextualSpacing/>
        <w:rPr>
          <w:rFonts w:eastAsia="Times New Roman" w:cs="Calibri"/>
          <w:b/>
          <w:sz w:val="24"/>
          <w:szCs w:val="24"/>
        </w:rPr>
      </w:pPr>
    </w:p>
    <w:p w:rsidR="001541EE" w:rsidRDefault="001541EE" w:rsidP="007D789A">
      <w:pPr>
        <w:spacing w:after="0" w:line="240" w:lineRule="auto"/>
        <w:ind w:left="720"/>
        <w:contextualSpacing/>
        <w:rPr>
          <w:rFonts w:eastAsia="Times New Roman" w:cs="Calibri"/>
          <w:b/>
          <w:sz w:val="24"/>
          <w:szCs w:val="24"/>
        </w:rPr>
      </w:pPr>
    </w:p>
    <w:p w:rsidR="001541EE" w:rsidRDefault="001541EE" w:rsidP="007D789A">
      <w:pPr>
        <w:spacing w:after="0" w:line="240" w:lineRule="auto"/>
        <w:ind w:left="720"/>
        <w:contextualSpacing/>
        <w:rPr>
          <w:rFonts w:eastAsia="Times New Roman" w:cs="Calibri"/>
          <w:b/>
          <w:sz w:val="24"/>
          <w:szCs w:val="24"/>
        </w:rPr>
      </w:pPr>
    </w:p>
    <w:p w:rsidR="001541EE" w:rsidRDefault="001541EE" w:rsidP="007D789A">
      <w:pPr>
        <w:spacing w:after="0" w:line="240" w:lineRule="auto"/>
        <w:ind w:left="720"/>
        <w:contextualSpacing/>
        <w:rPr>
          <w:rFonts w:eastAsia="Times New Roman" w:cs="Calibri"/>
          <w:b/>
          <w:sz w:val="24"/>
          <w:szCs w:val="24"/>
        </w:rPr>
      </w:pPr>
    </w:p>
    <w:p w:rsidR="001541EE" w:rsidRDefault="001541EE" w:rsidP="007D789A">
      <w:pPr>
        <w:spacing w:after="0" w:line="240" w:lineRule="auto"/>
        <w:ind w:left="720"/>
        <w:contextualSpacing/>
        <w:rPr>
          <w:rFonts w:eastAsia="Times New Roman" w:cs="Calibri"/>
          <w:b/>
          <w:sz w:val="24"/>
          <w:szCs w:val="24"/>
        </w:rPr>
      </w:pPr>
    </w:p>
    <w:p w:rsidR="001541EE" w:rsidRDefault="001541EE" w:rsidP="007D789A">
      <w:pPr>
        <w:spacing w:after="0" w:line="240" w:lineRule="auto"/>
        <w:ind w:left="720"/>
        <w:contextualSpacing/>
        <w:rPr>
          <w:rFonts w:eastAsia="Times New Roman" w:cs="Calibri"/>
          <w:b/>
          <w:sz w:val="24"/>
          <w:szCs w:val="24"/>
        </w:rPr>
      </w:pPr>
    </w:p>
    <w:p w:rsidR="001541EE" w:rsidRDefault="001541EE" w:rsidP="007D789A">
      <w:pPr>
        <w:spacing w:after="0" w:line="240" w:lineRule="auto"/>
        <w:ind w:left="720"/>
        <w:contextualSpacing/>
        <w:rPr>
          <w:rFonts w:eastAsia="Times New Roman" w:cs="Calibri"/>
          <w:b/>
          <w:sz w:val="24"/>
          <w:szCs w:val="24"/>
        </w:rPr>
      </w:pPr>
    </w:p>
    <w:p w:rsidR="001541EE" w:rsidRDefault="001541EE" w:rsidP="007D789A">
      <w:pPr>
        <w:spacing w:after="0" w:line="240" w:lineRule="auto"/>
        <w:ind w:left="720"/>
        <w:contextualSpacing/>
        <w:rPr>
          <w:rFonts w:eastAsia="Times New Roman" w:cs="Calibri"/>
          <w:b/>
          <w:sz w:val="24"/>
          <w:szCs w:val="24"/>
        </w:rPr>
      </w:pPr>
    </w:p>
    <w:p w:rsidR="001541EE" w:rsidRDefault="001541EE" w:rsidP="007D789A">
      <w:pPr>
        <w:spacing w:after="0" w:line="240" w:lineRule="auto"/>
        <w:ind w:left="720"/>
        <w:contextualSpacing/>
        <w:rPr>
          <w:rFonts w:eastAsia="Times New Roman" w:cs="Calibri"/>
          <w:b/>
          <w:sz w:val="24"/>
          <w:szCs w:val="24"/>
        </w:rPr>
      </w:pPr>
    </w:p>
    <w:p w:rsidR="006A0491" w:rsidRDefault="003F7A51" w:rsidP="001C6296">
      <w:pPr>
        <w:numPr>
          <w:ilvl w:val="0"/>
          <w:numId w:val="17"/>
        </w:numPr>
        <w:spacing w:after="0" w:line="240" w:lineRule="auto"/>
        <w:contextualSpacing/>
        <w:rPr>
          <w:rFonts w:eastAsia="Times New Roman" w:cs="Calibri"/>
          <w:b/>
          <w:sz w:val="24"/>
          <w:szCs w:val="24"/>
          <w:lang w:val="en-US"/>
        </w:rPr>
      </w:pPr>
      <w:r w:rsidRPr="006A6C26">
        <w:rPr>
          <w:rFonts w:eastAsia="Times New Roman" w:cs="Calibri"/>
          <w:b/>
          <w:sz w:val="24"/>
          <w:szCs w:val="24"/>
          <w:lang w:val="en-US"/>
        </w:rPr>
        <w:t>T</w:t>
      </w:r>
      <w:r w:rsidR="00D973EA" w:rsidRPr="006A6C26">
        <w:rPr>
          <w:rFonts w:eastAsia="Times New Roman" w:cs="Calibri"/>
          <w:b/>
          <w:sz w:val="24"/>
          <w:szCs w:val="24"/>
          <w:lang w:val="en-US"/>
        </w:rPr>
        <w:t xml:space="preserve">o </w:t>
      </w:r>
      <w:r w:rsidR="006A6C26" w:rsidRPr="006A6C26">
        <w:rPr>
          <w:rFonts w:eastAsia="Times New Roman" w:cs="Calibri"/>
          <w:b/>
          <w:sz w:val="24"/>
          <w:szCs w:val="24"/>
          <w:lang w:val="en-US"/>
        </w:rPr>
        <w:t xml:space="preserve">automate </w:t>
      </w:r>
      <w:r w:rsidR="006A6C26">
        <w:rPr>
          <w:rFonts w:eastAsia="Times New Roman" w:cs="Calibri"/>
          <w:b/>
          <w:sz w:val="24"/>
          <w:szCs w:val="24"/>
          <w:lang w:val="en-US"/>
        </w:rPr>
        <w:t xml:space="preserve">all </w:t>
      </w:r>
      <w:r w:rsidR="0083552B">
        <w:rPr>
          <w:rFonts w:eastAsia="Times New Roman" w:cs="Calibri"/>
          <w:b/>
          <w:sz w:val="24"/>
          <w:szCs w:val="24"/>
          <w:lang w:val="en-US"/>
        </w:rPr>
        <w:t>I</w:t>
      </w:r>
      <w:r w:rsidR="006A6C26">
        <w:rPr>
          <w:rFonts w:eastAsia="Times New Roman" w:cs="Calibri"/>
          <w:b/>
          <w:sz w:val="24"/>
          <w:szCs w:val="24"/>
          <w:lang w:val="en-US"/>
        </w:rPr>
        <w:t xml:space="preserve">nstitutional </w:t>
      </w:r>
      <w:r w:rsidR="0083552B">
        <w:rPr>
          <w:rFonts w:eastAsia="Times New Roman" w:cs="Calibri"/>
          <w:b/>
          <w:sz w:val="24"/>
          <w:szCs w:val="24"/>
          <w:lang w:val="en-US"/>
        </w:rPr>
        <w:t>Client S</w:t>
      </w:r>
      <w:r w:rsidR="006A6C26">
        <w:rPr>
          <w:rFonts w:eastAsia="Times New Roman" w:cs="Calibri"/>
          <w:b/>
          <w:sz w:val="24"/>
          <w:szCs w:val="24"/>
          <w:lang w:val="en-US"/>
        </w:rPr>
        <w:t>ettlements</w:t>
      </w:r>
      <w:r w:rsidR="0083552B">
        <w:rPr>
          <w:rFonts w:eastAsia="Times New Roman" w:cs="Calibri"/>
          <w:b/>
          <w:sz w:val="24"/>
          <w:szCs w:val="24"/>
          <w:lang w:val="en-US"/>
        </w:rPr>
        <w:t xml:space="preserve"> using ISS</w:t>
      </w:r>
    </w:p>
    <w:p w:rsidR="006A6C26" w:rsidRPr="006A6C26" w:rsidRDefault="006A6C26" w:rsidP="006A6C26">
      <w:pPr>
        <w:spacing w:after="0" w:line="240" w:lineRule="auto"/>
        <w:ind w:left="720"/>
        <w:contextualSpacing/>
        <w:rPr>
          <w:rFonts w:eastAsia="Times New Roman" w:cs="Calibri"/>
          <w:b/>
          <w:sz w:val="24"/>
          <w:szCs w:val="24"/>
          <w:lang w:val="en-US"/>
        </w:rPr>
      </w:pPr>
    </w:p>
    <w:tbl>
      <w:tblPr>
        <w:tblStyle w:val="TableGrid"/>
        <w:tblW w:w="0" w:type="auto"/>
        <w:tblInd w:w="720" w:type="dxa"/>
        <w:tblLook w:val="04A0" w:firstRow="1" w:lastRow="0" w:firstColumn="1" w:lastColumn="0" w:noHBand="0" w:noVBand="1"/>
      </w:tblPr>
      <w:tblGrid>
        <w:gridCol w:w="3499"/>
        <w:gridCol w:w="3686"/>
        <w:gridCol w:w="6985"/>
      </w:tblGrid>
      <w:tr w:rsidR="006A0491" w:rsidTr="00590F14">
        <w:tc>
          <w:tcPr>
            <w:tcW w:w="3499" w:type="dxa"/>
            <w:shd w:val="clear" w:color="auto" w:fill="D9D9D9" w:themeFill="background1" w:themeFillShade="D9"/>
          </w:tcPr>
          <w:p w:rsidR="006A0491" w:rsidRDefault="00CC0ADC" w:rsidP="00CC0ADC">
            <w:pPr>
              <w:spacing w:after="0" w:line="240" w:lineRule="auto"/>
              <w:contextualSpacing/>
              <w:rPr>
                <w:rFonts w:eastAsia="Times New Roman" w:cs="Calibri"/>
                <w:b/>
                <w:sz w:val="24"/>
                <w:szCs w:val="24"/>
              </w:rPr>
            </w:pPr>
            <w:r w:rsidRPr="00CC0ADC">
              <w:rPr>
                <w:rFonts w:eastAsia="Times New Roman" w:cs="Calibri"/>
                <w:b/>
                <w:sz w:val="24"/>
                <w:szCs w:val="24"/>
              </w:rPr>
              <w:t>Issues and initiatives raised at BRIDGe workshop meetings</w:t>
            </w:r>
          </w:p>
        </w:tc>
        <w:tc>
          <w:tcPr>
            <w:tcW w:w="3686" w:type="dxa"/>
            <w:shd w:val="clear" w:color="auto" w:fill="D9D9D9" w:themeFill="background1" w:themeFillShade="D9"/>
          </w:tcPr>
          <w:p w:rsidR="006A0491" w:rsidRDefault="006A0491" w:rsidP="007D789A">
            <w:pPr>
              <w:spacing w:after="0" w:line="240" w:lineRule="auto"/>
              <w:contextualSpacing/>
              <w:rPr>
                <w:rFonts w:eastAsia="Times New Roman" w:cs="Calibri"/>
                <w:b/>
                <w:sz w:val="24"/>
                <w:szCs w:val="24"/>
              </w:rPr>
            </w:pPr>
            <w:r>
              <w:rPr>
                <w:rFonts w:eastAsia="Times New Roman" w:cs="Calibri"/>
                <w:b/>
                <w:sz w:val="24"/>
                <w:szCs w:val="24"/>
              </w:rPr>
              <w:t>Proposal</w:t>
            </w:r>
          </w:p>
        </w:tc>
        <w:tc>
          <w:tcPr>
            <w:tcW w:w="6985" w:type="dxa"/>
            <w:shd w:val="clear" w:color="auto" w:fill="D9D9D9" w:themeFill="background1" w:themeFillShade="D9"/>
          </w:tcPr>
          <w:p w:rsidR="006A0491" w:rsidRDefault="006A0491" w:rsidP="007D789A">
            <w:pPr>
              <w:spacing w:after="0" w:line="240" w:lineRule="auto"/>
              <w:contextualSpacing/>
              <w:rPr>
                <w:rFonts w:eastAsia="Times New Roman" w:cs="Calibri"/>
                <w:b/>
                <w:sz w:val="24"/>
                <w:szCs w:val="24"/>
              </w:rPr>
            </w:pPr>
            <w:r>
              <w:rPr>
                <w:rFonts w:eastAsia="Times New Roman" w:cs="Calibri"/>
                <w:b/>
                <w:sz w:val="24"/>
                <w:szCs w:val="24"/>
              </w:rPr>
              <w:t xml:space="preserve">Questions for Members  </w:t>
            </w:r>
          </w:p>
        </w:tc>
      </w:tr>
      <w:tr w:rsidR="006A0491" w:rsidTr="00590F14">
        <w:tc>
          <w:tcPr>
            <w:tcW w:w="3499" w:type="dxa"/>
          </w:tcPr>
          <w:p w:rsidR="006D1BDD" w:rsidRDefault="006D1BDD" w:rsidP="006D1BDD">
            <w:pPr>
              <w:spacing w:after="0" w:line="240" w:lineRule="auto"/>
              <w:rPr>
                <w:lang w:val="en-US"/>
              </w:rPr>
            </w:pPr>
            <w:r w:rsidRPr="006D1BDD">
              <w:rPr>
                <w:lang w:val="en-US"/>
              </w:rPr>
              <w:t>ISS is the preferred settlement for institutional trades due to the DVP nature of settling both cash and shares electronically based on the automated pre-matching between Custodians and Brokers.</w:t>
            </w:r>
          </w:p>
          <w:p w:rsidR="006D1BDD" w:rsidRDefault="006D1BDD" w:rsidP="006D1BDD">
            <w:pPr>
              <w:spacing w:after="0" w:line="240" w:lineRule="auto"/>
              <w:rPr>
                <w:lang w:val="en-US"/>
              </w:rPr>
            </w:pPr>
          </w:p>
          <w:p w:rsidR="006D1BDD" w:rsidRPr="006D1BDD" w:rsidRDefault="006D1BDD" w:rsidP="006D1BDD">
            <w:pPr>
              <w:spacing w:after="0" w:line="240" w:lineRule="auto"/>
              <w:rPr>
                <w:lang w:val="en-US"/>
              </w:rPr>
            </w:pPr>
            <w:r w:rsidRPr="006D1BDD">
              <w:rPr>
                <w:lang w:val="en-US"/>
              </w:rPr>
              <w:t>FDSS are manually supported and do not settle shares and cash concurrently. Additionally it creates counterparty risk especially for Selling Clients who are required to transfer their securities to Brokers account on T+2 but receive proceeds on T+3 by noon.  To move towards e-settlement, it is important to have a true DVP settlement for institutional trades by mandating settlement via ISS.</w:t>
            </w:r>
          </w:p>
          <w:p w:rsidR="006A0491" w:rsidRPr="00841AB3" w:rsidRDefault="006A0491" w:rsidP="0083552B">
            <w:pPr>
              <w:spacing w:after="0" w:line="240" w:lineRule="auto"/>
              <w:rPr>
                <w:lang w:val="en-US"/>
              </w:rPr>
            </w:pPr>
          </w:p>
        </w:tc>
        <w:tc>
          <w:tcPr>
            <w:tcW w:w="3686" w:type="dxa"/>
          </w:tcPr>
          <w:p w:rsidR="00786827" w:rsidRPr="00786827" w:rsidRDefault="00786827" w:rsidP="00440998">
            <w:pPr>
              <w:autoSpaceDE w:val="0"/>
              <w:autoSpaceDN w:val="0"/>
              <w:adjustRightInd w:val="0"/>
              <w:spacing w:after="0" w:line="240" w:lineRule="auto"/>
              <w:jc w:val="both"/>
              <w:rPr>
                <w:rFonts w:cs="Calibri"/>
                <w:i/>
                <w:lang w:val="en-US"/>
              </w:rPr>
            </w:pPr>
            <w:r w:rsidRPr="00786827">
              <w:rPr>
                <w:rFonts w:cs="Calibri"/>
                <w:i/>
                <w:lang w:val="en-US"/>
              </w:rPr>
              <w:t>Proposal 1</w:t>
            </w:r>
            <w:r>
              <w:rPr>
                <w:rFonts w:cs="Calibri"/>
                <w:i/>
                <w:lang w:val="en-US"/>
              </w:rPr>
              <w:t>:</w:t>
            </w:r>
          </w:p>
          <w:p w:rsidR="00440998" w:rsidRDefault="00440998" w:rsidP="00440998">
            <w:pPr>
              <w:autoSpaceDE w:val="0"/>
              <w:autoSpaceDN w:val="0"/>
              <w:adjustRightInd w:val="0"/>
              <w:spacing w:after="0" w:line="240" w:lineRule="auto"/>
              <w:jc w:val="both"/>
              <w:rPr>
                <w:rFonts w:cs="Calibri"/>
                <w:lang w:val="en-US"/>
              </w:rPr>
            </w:pPr>
            <w:r>
              <w:rPr>
                <w:rFonts w:cs="Calibri"/>
                <w:lang w:val="en-US"/>
              </w:rPr>
              <w:t xml:space="preserve">Not all institutional trades are settled on </w:t>
            </w:r>
            <w:r w:rsidR="006A6C26">
              <w:rPr>
                <w:rFonts w:cs="Calibri"/>
                <w:lang w:val="en-US"/>
              </w:rPr>
              <w:t xml:space="preserve">the automated </w:t>
            </w:r>
            <w:r>
              <w:rPr>
                <w:rFonts w:cs="Calibri"/>
                <w:lang w:val="en-US"/>
              </w:rPr>
              <w:t xml:space="preserve">ISS basis. Industry to explore whether it is feasible to </w:t>
            </w:r>
            <w:r w:rsidR="006A0491" w:rsidRPr="001273EA">
              <w:rPr>
                <w:rFonts w:cs="Calibri"/>
                <w:lang w:val="en-US"/>
              </w:rPr>
              <w:t>mandate all institutional settlement on ISS basis</w:t>
            </w:r>
            <w:r>
              <w:rPr>
                <w:rFonts w:cs="Calibri"/>
                <w:lang w:val="en-US"/>
              </w:rPr>
              <w:t>.</w:t>
            </w:r>
          </w:p>
          <w:p w:rsidR="0083552B" w:rsidRDefault="0083552B" w:rsidP="00440998">
            <w:pPr>
              <w:autoSpaceDE w:val="0"/>
              <w:autoSpaceDN w:val="0"/>
              <w:adjustRightInd w:val="0"/>
              <w:spacing w:after="0" w:line="240" w:lineRule="auto"/>
              <w:jc w:val="both"/>
              <w:rPr>
                <w:rFonts w:cs="Calibri"/>
                <w:lang w:val="en-US"/>
              </w:rPr>
            </w:pPr>
          </w:p>
          <w:p w:rsidR="0083552B" w:rsidRDefault="0083552B" w:rsidP="00440998">
            <w:pPr>
              <w:autoSpaceDE w:val="0"/>
              <w:autoSpaceDN w:val="0"/>
              <w:adjustRightInd w:val="0"/>
              <w:spacing w:after="0" w:line="240" w:lineRule="auto"/>
              <w:jc w:val="both"/>
              <w:rPr>
                <w:rFonts w:cs="Calibri"/>
                <w:lang w:val="en-US"/>
              </w:rPr>
            </w:pPr>
            <w:r w:rsidRPr="0083552B">
              <w:rPr>
                <w:rFonts w:cs="Calibri"/>
                <w:lang w:val="en-US"/>
              </w:rPr>
              <w:t>All institutional settlements should be automated to achieve efficiency.</w:t>
            </w:r>
            <w:r>
              <w:rPr>
                <w:rFonts w:cs="Calibri"/>
                <w:lang w:val="en-US"/>
              </w:rPr>
              <w:t xml:space="preserve"> However</w:t>
            </w:r>
            <w:r w:rsidR="00B5673F">
              <w:rPr>
                <w:rFonts w:cs="Calibri"/>
                <w:lang w:val="en-US"/>
              </w:rPr>
              <w:t>,</w:t>
            </w:r>
            <w:r>
              <w:rPr>
                <w:rFonts w:cs="Calibri"/>
                <w:lang w:val="en-US"/>
              </w:rPr>
              <w:t xml:space="preserve"> ISS which is mainly used by foreign brokers are higher in cost than FDSS.</w:t>
            </w:r>
          </w:p>
          <w:p w:rsidR="00786827" w:rsidRDefault="00786827" w:rsidP="00440998">
            <w:pPr>
              <w:autoSpaceDE w:val="0"/>
              <w:autoSpaceDN w:val="0"/>
              <w:adjustRightInd w:val="0"/>
              <w:spacing w:after="0" w:line="240" w:lineRule="auto"/>
              <w:jc w:val="both"/>
              <w:rPr>
                <w:rFonts w:cs="Calibri"/>
                <w:lang w:val="en-US"/>
              </w:rPr>
            </w:pPr>
          </w:p>
          <w:p w:rsidR="00440998" w:rsidRDefault="00786827" w:rsidP="00440998">
            <w:pPr>
              <w:autoSpaceDE w:val="0"/>
              <w:autoSpaceDN w:val="0"/>
              <w:adjustRightInd w:val="0"/>
              <w:spacing w:after="0" w:line="240" w:lineRule="auto"/>
              <w:jc w:val="both"/>
              <w:rPr>
                <w:rFonts w:cs="Calibri"/>
                <w:lang w:val="en-US"/>
              </w:rPr>
            </w:pPr>
            <w:r w:rsidRPr="00786827">
              <w:rPr>
                <w:rFonts w:cs="Calibri"/>
                <w:i/>
                <w:lang w:val="en-US"/>
              </w:rPr>
              <w:t>Proposal 2</w:t>
            </w:r>
            <w:r>
              <w:rPr>
                <w:rFonts w:cs="Calibri"/>
                <w:i/>
                <w:lang w:val="en-US"/>
              </w:rPr>
              <w:t>:</w:t>
            </w:r>
          </w:p>
          <w:p w:rsidR="006A0491" w:rsidRDefault="002B3B87" w:rsidP="006D1BDD">
            <w:pPr>
              <w:autoSpaceDE w:val="0"/>
              <w:autoSpaceDN w:val="0"/>
              <w:adjustRightInd w:val="0"/>
              <w:spacing w:after="0" w:line="240" w:lineRule="auto"/>
              <w:jc w:val="both"/>
              <w:rPr>
                <w:rFonts w:cs="Calibri"/>
                <w:lang w:val="en-US"/>
              </w:rPr>
            </w:pPr>
            <w:r w:rsidRPr="00786827">
              <w:rPr>
                <w:rFonts w:cs="Calibri"/>
                <w:lang w:val="en-US"/>
              </w:rPr>
              <w:t>If the above</w:t>
            </w:r>
            <w:r w:rsidR="00440998" w:rsidRPr="00786827">
              <w:rPr>
                <w:rFonts w:cs="Calibri"/>
                <w:lang w:val="en-US"/>
              </w:rPr>
              <w:t xml:space="preserve"> </w:t>
            </w:r>
            <w:r w:rsidR="00786827">
              <w:rPr>
                <w:rFonts w:cs="Calibri"/>
                <w:lang w:val="en-US"/>
              </w:rPr>
              <w:t>P</w:t>
            </w:r>
            <w:r w:rsidR="00440998" w:rsidRPr="00786827">
              <w:rPr>
                <w:rFonts w:cs="Calibri"/>
                <w:lang w:val="en-US"/>
              </w:rPr>
              <w:t xml:space="preserve">roposal </w:t>
            </w:r>
            <w:r w:rsidR="00786827">
              <w:rPr>
                <w:rFonts w:cs="Calibri"/>
                <w:lang w:val="en-US"/>
              </w:rPr>
              <w:t xml:space="preserve">1 </w:t>
            </w:r>
            <w:r w:rsidR="00440998" w:rsidRPr="00786827">
              <w:rPr>
                <w:rFonts w:cs="Calibri"/>
                <w:lang w:val="en-US"/>
              </w:rPr>
              <w:t>is not feasible, the industry should then explore whether it is feasible</w:t>
            </w:r>
            <w:r w:rsidR="006A6C26" w:rsidRPr="00786827">
              <w:rPr>
                <w:rFonts w:cs="Calibri"/>
                <w:lang w:val="en-US"/>
              </w:rPr>
              <w:t xml:space="preserve"> to mandate the manual based </w:t>
            </w:r>
            <w:r w:rsidR="00440998" w:rsidRPr="00786827">
              <w:rPr>
                <w:rFonts w:cs="Calibri"/>
                <w:lang w:val="en-US"/>
              </w:rPr>
              <w:t xml:space="preserve">FDSS trade to be settled on Central Matching Facility (CMF) platform. </w:t>
            </w:r>
            <w:r w:rsidR="00786827" w:rsidRPr="00786827">
              <w:rPr>
                <w:rFonts w:cs="Calibri"/>
                <w:lang w:val="en-US"/>
              </w:rPr>
              <w:t xml:space="preserve">FDSS instructions can be matched </w:t>
            </w:r>
            <w:r w:rsidR="00786827">
              <w:rPr>
                <w:rFonts w:cs="Calibri"/>
                <w:lang w:val="en-US"/>
              </w:rPr>
              <w:t>o</w:t>
            </w:r>
            <w:r w:rsidR="00786827" w:rsidRPr="00786827">
              <w:rPr>
                <w:rFonts w:cs="Calibri"/>
                <w:lang w:val="en-US"/>
              </w:rPr>
              <w:t xml:space="preserve">n CMF and once matched it automatically creates the first level transfer in CDS. </w:t>
            </w:r>
          </w:p>
          <w:p w:rsidR="00A15B09" w:rsidRDefault="00A15B09" w:rsidP="006D1BDD">
            <w:pPr>
              <w:autoSpaceDE w:val="0"/>
              <w:autoSpaceDN w:val="0"/>
              <w:adjustRightInd w:val="0"/>
              <w:spacing w:after="0" w:line="240" w:lineRule="auto"/>
              <w:jc w:val="both"/>
              <w:rPr>
                <w:rFonts w:cs="Calibri"/>
              </w:rPr>
            </w:pPr>
          </w:p>
        </w:tc>
        <w:tc>
          <w:tcPr>
            <w:tcW w:w="6985" w:type="dxa"/>
          </w:tcPr>
          <w:p w:rsidR="006A0491" w:rsidRDefault="006A0491" w:rsidP="007D789A">
            <w:pPr>
              <w:spacing w:after="0" w:line="240" w:lineRule="auto"/>
              <w:contextualSpacing/>
              <w:rPr>
                <w:rFonts w:eastAsia="Times New Roman" w:cs="Calibri"/>
                <w:i/>
                <w:sz w:val="24"/>
                <w:szCs w:val="24"/>
              </w:rPr>
            </w:pPr>
            <w:r>
              <w:rPr>
                <w:rFonts w:eastAsia="Times New Roman" w:cs="Calibri"/>
                <w:i/>
                <w:sz w:val="24"/>
                <w:szCs w:val="24"/>
              </w:rPr>
              <w:t xml:space="preserve">Question 1: </w:t>
            </w:r>
            <w:r w:rsidRPr="007646EE">
              <w:rPr>
                <w:rFonts w:eastAsia="Times New Roman" w:cs="Calibri"/>
                <w:i/>
                <w:sz w:val="24"/>
                <w:szCs w:val="24"/>
              </w:rPr>
              <w:t xml:space="preserve">Do you agree </w:t>
            </w:r>
            <w:r w:rsidR="00A15B09">
              <w:rPr>
                <w:rFonts w:eastAsia="Times New Roman" w:cs="Calibri"/>
                <w:i/>
                <w:sz w:val="24"/>
                <w:szCs w:val="24"/>
              </w:rPr>
              <w:t>with Proposal 1</w:t>
            </w:r>
            <w:r w:rsidR="00B5673F">
              <w:rPr>
                <w:rFonts w:eastAsia="Times New Roman" w:cs="Calibri"/>
                <w:i/>
                <w:sz w:val="24"/>
                <w:szCs w:val="24"/>
              </w:rPr>
              <w:t xml:space="preserve"> i.e. </w:t>
            </w:r>
            <w:r w:rsidR="00B5673F" w:rsidRPr="00B5673F">
              <w:rPr>
                <w:rFonts w:eastAsia="Times New Roman" w:cs="Calibri"/>
                <w:i/>
                <w:sz w:val="24"/>
                <w:szCs w:val="24"/>
                <w:lang w:val="en-US"/>
              </w:rPr>
              <w:t>to mandate all institutional settlement on ISS basis</w:t>
            </w:r>
            <w:r>
              <w:rPr>
                <w:rFonts w:eastAsia="Times New Roman" w:cs="Calibri"/>
                <w:i/>
                <w:sz w:val="24"/>
                <w:szCs w:val="24"/>
              </w:rPr>
              <w:t>? (Yes / No)</w:t>
            </w:r>
          </w:p>
          <w:p w:rsidR="00905192" w:rsidRDefault="00905192" w:rsidP="007D789A">
            <w:pPr>
              <w:spacing w:after="0" w:line="240" w:lineRule="auto"/>
              <w:contextualSpacing/>
              <w:rPr>
                <w:rFonts w:eastAsia="Times New Roman" w:cs="Calibri"/>
                <w:i/>
                <w:sz w:val="24"/>
                <w:szCs w:val="24"/>
              </w:rPr>
            </w:pPr>
          </w:p>
          <w:p w:rsidR="00905192" w:rsidRDefault="00905192" w:rsidP="007D789A">
            <w:pPr>
              <w:spacing w:after="0" w:line="240" w:lineRule="auto"/>
              <w:contextualSpacing/>
              <w:rPr>
                <w:rFonts w:eastAsia="Times New Roman" w:cs="Calibri"/>
                <w:i/>
                <w:sz w:val="24"/>
                <w:szCs w:val="24"/>
              </w:rPr>
            </w:pPr>
            <w:r>
              <w:rPr>
                <w:rFonts w:eastAsia="Times New Roman" w:cs="Calibri"/>
                <w:i/>
                <w:sz w:val="24"/>
                <w:szCs w:val="24"/>
              </w:rPr>
              <w:t xml:space="preserve">Question </w:t>
            </w:r>
            <w:r w:rsidR="00324BE6">
              <w:rPr>
                <w:rFonts w:eastAsia="Times New Roman" w:cs="Calibri"/>
                <w:i/>
                <w:sz w:val="24"/>
                <w:szCs w:val="24"/>
              </w:rPr>
              <w:t>2</w:t>
            </w:r>
            <w:r>
              <w:rPr>
                <w:rFonts w:eastAsia="Times New Roman" w:cs="Calibri"/>
                <w:i/>
                <w:sz w:val="24"/>
                <w:szCs w:val="24"/>
              </w:rPr>
              <w:t>: Please state the reason(s) for your answer to Question 1 below.</w:t>
            </w:r>
          </w:p>
          <w:p w:rsidR="00905192" w:rsidRDefault="00905192" w:rsidP="007D789A">
            <w:pPr>
              <w:spacing w:after="0" w:line="240" w:lineRule="auto"/>
              <w:contextualSpacing/>
              <w:rPr>
                <w:rFonts w:eastAsia="Times New Roman" w:cs="Calibri"/>
                <w:i/>
                <w:sz w:val="24"/>
                <w:szCs w:val="24"/>
              </w:rPr>
            </w:pPr>
          </w:p>
          <w:p w:rsidR="006A0491" w:rsidRDefault="006A0491" w:rsidP="007D789A">
            <w:pPr>
              <w:spacing w:after="0" w:line="240" w:lineRule="auto"/>
              <w:contextualSpacing/>
              <w:rPr>
                <w:rFonts w:eastAsia="Times New Roman" w:cs="Calibri"/>
                <w:i/>
                <w:sz w:val="24"/>
                <w:szCs w:val="24"/>
              </w:rPr>
            </w:pPr>
          </w:p>
          <w:p w:rsidR="006A0491" w:rsidRDefault="006A0491" w:rsidP="007D789A">
            <w:pPr>
              <w:spacing w:after="0" w:line="240" w:lineRule="auto"/>
              <w:contextualSpacing/>
              <w:rPr>
                <w:rFonts w:eastAsia="Times New Roman" w:cs="Calibri"/>
                <w:i/>
                <w:sz w:val="24"/>
                <w:szCs w:val="24"/>
              </w:rPr>
            </w:pPr>
          </w:p>
          <w:p w:rsidR="00A15B09" w:rsidRDefault="00A15B09" w:rsidP="007D789A">
            <w:pPr>
              <w:spacing w:after="0" w:line="240" w:lineRule="auto"/>
              <w:contextualSpacing/>
              <w:rPr>
                <w:rFonts w:eastAsia="Times New Roman" w:cs="Calibri"/>
                <w:i/>
                <w:sz w:val="24"/>
                <w:szCs w:val="24"/>
              </w:rPr>
            </w:pPr>
          </w:p>
          <w:p w:rsidR="00324BE6" w:rsidRPr="00324BE6" w:rsidRDefault="006A0491" w:rsidP="00324BE6">
            <w:pPr>
              <w:spacing w:after="0" w:line="240" w:lineRule="auto"/>
              <w:contextualSpacing/>
              <w:rPr>
                <w:rFonts w:eastAsia="Times New Roman" w:cs="Calibri"/>
                <w:i/>
                <w:sz w:val="24"/>
                <w:szCs w:val="24"/>
              </w:rPr>
            </w:pPr>
            <w:r>
              <w:rPr>
                <w:rFonts w:eastAsia="Times New Roman" w:cs="Calibri"/>
                <w:i/>
                <w:sz w:val="24"/>
                <w:szCs w:val="24"/>
              </w:rPr>
              <w:t xml:space="preserve">Question </w:t>
            </w:r>
            <w:r w:rsidR="00324BE6">
              <w:rPr>
                <w:rFonts w:eastAsia="Times New Roman" w:cs="Calibri"/>
                <w:i/>
                <w:sz w:val="24"/>
                <w:szCs w:val="24"/>
              </w:rPr>
              <w:t>3</w:t>
            </w:r>
            <w:r>
              <w:rPr>
                <w:rFonts w:eastAsia="Times New Roman" w:cs="Calibri"/>
                <w:i/>
                <w:sz w:val="24"/>
                <w:szCs w:val="24"/>
              </w:rPr>
              <w:t xml:space="preserve">: </w:t>
            </w:r>
            <w:r w:rsidR="00324BE6">
              <w:rPr>
                <w:rFonts w:eastAsia="Times New Roman" w:cs="Calibri"/>
                <w:i/>
                <w:sz w:val="24"/>
                <w:szCs w:val="24"/>
              </w:rPr>
              <w:t xml:space="preserve">If you do not agree </w:t>
            </w:r>
            <w:r w:rsidR="00A15B09">
              <w:rPr>
                <w:rFonts w:eastAsia="Times New Roman" w:cs="Calibri"/>
                <w:i/>
                <w:sz w:val="24"/>
                <w:szCs w:val="24"/>
              </w:rPr>
              <w:t>with Proposal</w:t>
            </w:r>
            <w:r w:rsidR="009D5ECC">
              <w:rPr>
                <w:rFonts w:eastAsia="Times New Roman" w:cs="Calibri"/>
                <w:i/>
                <w:sz w:val="24"/>
                <w:szCs w:val="24"/>
              </w:rPr>
              <w:t xml:space="preserve"> 1</w:t>
            </w:r>
            <w:r w:rsidR="00324BE6">
              <w:rPr>
                <w:rFonts w:eastAsia="Times New Roman" w:cs="Calibri"/>
                <w:i/>
                <w:sz w:val="24"/>
                <w:szCs w:val="24"/>
                <w:lang w:val="en-US"/>
              </w:rPr>
              <w:t xml:space="preserve">, do you agree </w:t>
            </w:r>
            <w:r w:rsidR="00A15B09">
              <w:rPr>
                <w:rFonts w:eastAsia="Times New Roman" w:cs="Calibri"/>
                <w:i/>
                <w:sz w:val="24"/>
                <w:szCs w:val="24"/>
                <w:lang w:val="en-US"/>
              </w:rPr>
              <w:t>with Proposal 2</w:t>
            </w:r>
            <w:r w:rsidR="00B5673F">
              <w:rPr>
                <w:rFonts w:eastAsia="Times New Roman" w:cs="Calibri"/>
                <w:i/>
                <w:sz w:val="24"/>
                <w:szCs w:val="24"/>
                <w:lang w:val="en-US"/>
              </w:rPr>
              <w:t xml:space="preserve"> i.e. to </w:t>
            </w:r>
            <w:r w:rsidR="00B5673F" w:rsidRPr="00B5673F">
              <w:rPr>
                <w:rFonts w:eastAsia="Times New Roman" w:cs="Calibri"/>
                <w:i/>
                <w:sz w:val="24"/>
                <w:szCs w:val="24"/>
                <w:lang w:val="en-US"/>
              </w:rPr>
              <w:t>mandate the manual based FDSS trad</w:t>
            </w:r>
            <w:r w:rsidR="002F2C20">
              <w:rPr>
                <w:rFonts w:eastAsia="Times New Roman" w:cs="Calibri"/>
                <w:i/>
                <w:sz w:val="24"/>
                <w:szCs w:val="24"/>
                <w:lang w:val="en-US"/>
              </w:rPr>
              <w:t>e to be settled on CMF platform</w:t>
            </w:r>
            <w:r w:rsidR="00324BE6">
              <w:rPr>
                <w:rFonts w:eastAsia="Times New Roman" w:cs="Calibri"/>
                <w:i/>
                <w:sz w:val="24"/>
                <w:szCs w:val="24"/>
                <w:lang w:val="en-US"/>
              </w:rPr>
              <w:t xml:space="preserve">? </w:t>
            </w:r>
            <w:r w:rsidR="00324BE6" w:rsidRPr="00324BE6">
              <w:rPr>
                <w:rFonts w:eastAsia="Times New Roman" w:cs="Calibri"/>
                <w:i/>
                <w:sz w:val="24"/>
                <w:szCs w:val="24"/>
              </w:rPr>
              <w:t>(Yes / No)</w:t>
            </w:r>
          </w:p>
          <w:p w:rsidR="00324BE6" w:rsidRDefault="00324BE6" w:rsidP="007D789A">
            <w:pPr>
              <w:spacing w:after="0" w:line="240" w:lineRule="auto"/>
              <w:contextualSpacing/>
              <w:rPr>
                <w:rFonts w:eastAsia="Times New Roman" w:cs="Calibri"/>
                <w:i/>
                <w:sz w:val="24"/>
                <w:szCs w:val="24"/>
              </w:rPr>
            </w:pPr>
          </w:p>
          <w:p w:rsidR="00324BE6" w:rsidRPr="00324BE6" w:rsidRDefault="00324BE6" w:rsidP="00324BE6">
            <w:pPr>
              <w:spacing w:after="0" w:line="240" w:lineRule="auto"/>
              <w:contextualSpacing/>
              <w:rPr>
                <w:rFonts w:eastAsia="Times New Roman" w:cs="Calibri"/>
                <w:i/>
                <w:sz w:val="24"/>
                <w:szCs w:val="24"/>
              </w:rPr>
            </w:pPr>
            <w:r w:rsidRPr="00324BE6">
              <w:rPr>
                <w:rFonts w:eastAsia="Times New Roman" w:cs="Calibri"/>
                <w:i/>
                <w:sz w:val="24"/>
                <w:szCs w:val="24"/>
              </w:rPr>
              <w:t xml:space="preserve">Question </w:t>
            </w:r>
            <w:r>
              <w:rPr>
                <w:rFonts w:eastAsia="Times New Roman" w:cs="Calibri"/>
                <w:i/>
                <w:sz w:val="24"/>
                <w:szCs w:val="24"/>
              </w:rPr>
              <w:t>4</w:t>
            </w:r>
            <w:r w:rsidRPr="00324BE6">
              <w:rPr>
                <w:rFonts w:eastAsia="Times New Roman" w:cs="Calibri"/>
                <w:i/>
                <w:sz w:val="24"/>
                <w:szCs w:val="24"/>
              </w:rPr>
              <w:t xml:space="preserve">: Please state the reason(s) for your answer to Question </w:t>
            </w:r>
            <w:r>
              <w:rPr>
                <w:rFonts w:eastAsia="Times New Roman" w:cs="Calibri"/>
                <w:i/>
                <w:sz w:val="24"/>
                <w:szCs w:val="24"/>
              </w:rPr>
              <w:t>3</w:t>
            </w:r>
            <w:r w:rsidRPr="00324BE6">
              <w:rPr>
                <w:rFonts w:eastAsia="Times New Roman" w:cs="Calibri"/>
                <w:i/>
                <w:sz w:val="24"/>
                <w:szCs w:val="24"/>
              </w:rPr>
              <w:t xml:space="preserve"> below.</w:t>
            </w:r>
          </w:p>
          <w:p w:rsidR="006A0491" w:rsidRDefault="006A0491" w:rsidP="007D789A">
            <w:pPr>
              <w:spacing w:after="0" w:line="240" w:lineRule="auto"/>
              <w:contextualSpacing/>
              <w:rPr>
                <w:rFonts w:eastAsia="Times New Roman" w:cs="Calibri"/>
                <w:i/>
                <w:sz w:val="24"/>
                <w:szCs w:val="24"/>
              </w:rPr>
            </w:pPr>
          </w:p>
          <w:p w:rsidR="006A0491" w:rsidRDefault="006A0491" w:rsidP="007D789A">
            <w:pPr>
              <w:spacing w:after="0" w:line="240" w:lineRule="auto"/>
              <w:contextualSpacing/>
              <w:rPr>
                <w:rFonts w:eastAsia="Times New Roman" w:cs="Calibri"/>
                <w:i/>
                <w:sz w:val="24"/>
                <w:szCs w:val="24"/>
              </w:rPr>
            </w:pPr>
          </w:p>
          <w:p w:rsidR="006A0491" w:rsidRDefault="006A0491" w:rsidP="007D789A">
            <w:pPr>
              <w:spacing w:after="0" w:line="240" w:lineRule="auto"/>
              <w:contextualSpacing/>
              <w:rPr>
                <w:rFonts w:eastAsia="Times New Roman" w:cs="Calibri"/>
                <w:i/>
                <w:sz w:val="24"/>
                <w:szCs w:val="24"/>
              </w:rPr>
            </w:pPr>
          </w:p>
          <w:p w:rsidR="006A0491" w:rsidRDefault="006A0491" w:rsidP="007D789A">
            <w:pPr>
              <w:spacing w:after="0" w:line="240" w:lineRule="auto"/>
              <w:contextualSpacing/>
              <w:rPr>
                <w:rFonts w:eastAsia="Times New Roman" w:cs="Calibri"/>
                <w:i/>
                <w:sz w:val="24"/>
                <w:szCs w:val="24"/>
              </w:rPr>
            </w:pPr>
          </w:p>
          <w:p w:rsidR="006A0491" w:rsidRDefault="00324BE6" w:rsidP="007D789A">
            <w:pPr>
              <w:spacing w:after="0" w:line="240" w:lineRule="auto"/>
              <w:contextualSpacing/>
              <w:rPr>
                <w:rFonts w:eastAsia="Times New Roman" w:cs="Calibri"/>
                <w:i/>
                <w:sz w:val="24"/>
                <w:szCs w:val="24"/>
              </w:rPr>
            </w:pPr>
            <w:r>
              <w:rPr>
                <w:rFonts w:eastAsia="Times New Roman" w:cs="Calibri"/>
                <w:i/>
                <w:sz w:val="24"/>
                <w:szCs w:val="24"/>
              </w:rPr>
              <w:t>Question 5</w:t>
            </w:r>
            <w:r w:rsidR="006A0491">
              <w:rPr>
                <w:rFonts w:eastAsia="Times New Roman" w:cs="Calibri"/>
                <w:i/>
                <w:sz w:val="24"/>
                <w:szCs w:val="24"/>
              </w:rPr>
              <w:t>: Any other comment(s)</w:t>
            </w:r>
          </w:p>
          <w:p w:rsidR="006A0491" w:rsidRDefault="006A0491" w:rsidP="007D789A">
            <w:pPr>
              <w:spacing w:after="0" w:line="240" w:lineRule="auto"/>
              <w:contextualSpacing/>
              <w:rPr>
                <w:rFonts w:eastAsia="Times New Roman" w:cs="Calibri"/>
                <w:i/>
                <w:sz w:val="24"/>
                <w:szCs w:val="24"/>
              </w:rPr>
            </w:pPr>
          </w:p>
          <w:p w:rsidR="006A0491" w:rsidRPr="007646EE" w:rsidRDefault="006A0491" w:rsidP="007D789A">
            <w:pPr>
              <w:spacing w:after="0" w:line="240" w:lineRule="auto"/>
              <w:contextualSpacing/>
              <w:rPr>
                <w:rFonts w:eastAsia="Times New Roman" w:cs="Calibri"/>
                <w:i/>
                <w:sz w:val="24"/>
                <w:szCs w:val="24"/>
              </w:rPr>
            </w:pPr>
          </w:p>
        </w:tc>
      </w:tr>
    </w:tbl>
    <w:p w:rsidR="00174DFD" w:rsidRDefault="00174DFD" w:rsidP="007D789A">
      <w:pPr>
        <w:spacing w:after="0" w:line="240" w:lineRule="auto"/>
        <w:ind w:left="720"/>
        <w:contextualSpacing/>
        <w:rPr>
          <w:rFonts w:eastAsia="Times New Roman" w:cs="Calibri"/>
          <w:b/>
          <w:sz w:val="24"/>
          <w:szCs w:val="24"/>
          <w:lang w:val="en-US"/>
        </w:rPr>
      </w:pPr>
    </w:p>
    <w:p w:rsidR="006A0491" w:rsidRDefault="006A0491" w:rsidP="007D789A">
      <w:pPr>
        <w:spacing w:after="0" w:line="240" w:lineRule="auto"/>
        <w:ind w:left="720"/>
        <w:contextualSpacing/>
        <w:rPr>
          <w:rFonts w:eastAsia="Times New Roman" w:cs="Calibri"/>
          <w:b/>
          <w:sz w:val="24"/>
          <w:szCs w:val="24"/>
          <w:lang w:val="en-US"/>
        </w:rPr>
      </w:pPr>
    </w:p>
    <w:p w:rsidR="006E2852" w:rsidRDefault="006E2852" w:rsidP="007D789A">
      <w:pPr>
        <w:spacing w:after="0" w:line="240" w:lineRule="auto"/>
        <w:ind w:left="720"/>
        <w:contextualSpacing/>
        <w:rPr>
          <w:rFonts w:eastAsia="Times New Roman" w:cs="Calibri"/>
          <w:b/>
          <w:sz w:val="24"/>
          <w:szCs w:val="24"/>
          <w:lang w:val="en-US"/>
        </w:rPr>
      </w:pPr>
    </w:p>
    <w:p w:rsidR="006E2852" w:rsidRDefault="006E2852" w:rsidP="007D789A">
      <w:pPr>
        <w:spacing w:after="0" w:line="240" w:lineRule="auto"/>
        <w:ind w:left="720"/>
        <w:contextualSpacing/>
        <w:rPr>
          <w:rFonts w:eastAsia="Times New Roman" w:cs="Calibri"/>
          <w:b/>
          <w:sz w:val="24"/>
          <w:szCs w:val="24"/>
          <w:lang w:val="en-US"/>
        </w:rPr>
      </w:pPr>
    </w:p>
    <w:p w:rsidR="006D1BDD" w:rsidRDefault="006D1BDD" w:rsidP="007D789A">
      <w:pPr>
        <w:spacing w:after="0" w:line="240" w:lineRule="auto"/>
        <w:ind w:left="720"/>
        <w:contextualSpacing/>
        <w:rPr>
          <w:rFonts w:eastAsia="Times New Roman" w:cs="Calibri"/>
          <w:b/>
          <w:sz w:val="24"/>
          <w:szCs w:val="24"/>
          <w:lang w:val="en-US"/>
        </w:rPr>
      </w:pPr>
    </w:p>
    <w:p w:rsidR="006A0491" w:rsidRDefault="006A0491" w:rsidP="001C6296">
      <w:pPr>
        <w:numPr>
          <w:ilvl w:val="0"/>
          <w:numId w:val="17"/>
        </w:numPr>
        <w:spacing w:after="0" w:line="240" w:lineRule="auto"/>
        <w:contextualSpacing/>
        <w:rPr>
          <w:rFonts w:eastAsia="Times New Roman" w:cs="Calibri"/>
          <w:b/>
          <w:sz w:val="24"/>
          <w:szCs w:val="24"/>
          <w:lang w:val="en-US"/>
        </w:rPr>
      </w:pPr>
      <w:r w:rsidRPr="006A0491">
        <w:rPr>
          <w:rFonts w:eastAsia="Times New Roman" w:cs="Calibri"/>
          <w:b/>
          <w:sz w:val="24"/>
          <w:szCs w:val="24"/>
          <w:lang w:val="en-US"/>
        </w:rPr>
        <w:t>Ear-marking of shares at the broker-level OMS during a share consolidation exercise</w:t>
      </w:r>
    </w:p>
    <w:p w:rsidR="00174DFD" w:rsidRDefault="00174DFD" w:rsidP="007D789A">
      <w:pPr>
        <w:spacing w:after="0" w:line="240" w:lineRule="auto"/>
        <w:ind w:left="720"/>
        <w:contextualSpacing/>
        <w:rPr>
          <w:rFonts w:eastAsia="Times New Roman" w:cs="Calibri"/>
          <w:b/>
          <w:sz w:val="24"/>
          <w:szCs w:val="24"/>
          <w:lang w:val="en-US"/>
        </w:rPr>
      </w:pPr>
    </w:p>
    <w:tbl>
      <w:tblPr>
        <w:tblStyle w:val="TableGrid"/>
        <w:tblW w:w="0" w:type="auto"/>
        <w:tblInd w:w="720" w:type="dxa"/>
        <w:tblLook w:val="04A0" w:firstRow="1" w:lastRow="0" w:firstColumn="1" w:lastColumn="0" w:noHBand="0" w:noVBand="1"/>
      </w:tblPr>
      <w:tblGrid>
        <w:gridCol w:w="3499"/>
        <w:gridCol w:w="3686"/>
        <w:gridCol w:w="6985"/>
      </w:tblGrid>
      <w:tr w:rsidR="007D789A" w:rsidTr="00590F14">
        <w:tc>
          <w:tcPr>
            <w:tcW w:w="3499" w:type="dxa"/>
            <w:shd w:val="clear" w:color="auto" w:fill="D9D9D9" w:themeFill="background1" w:themeFillShade="D9"/>
          </w:tcPr>
          <w:p w:rsidR="00174DFD" w:rsidRDefault="00CC0ADC" w:rsidP="00CC0ADC">
            <w:pPr>
              <w:spacing w:after="0" w:line="240" w:lineRule="auto"/>
              <w:contextualSpacing/>
              <w:rPr>
                <w:rFonts w:eastAsia="Times New Roman" w:cs="Calibri"/>
                <w:b/>
                <w:sz w:val="24"/>
                <w:szCs w:val="24"/>
              </w:rPr>
            </w:pPr>
            <w:r w:rsidRPr="00CC0ADC">
              <w:rPr>
                <w:rFonts w:eastAsia="Times New Roman" w:cs="Calibri"/>
                <w:b/>
                <w:sz w:val="24"/>
                <w:szCs w:val="24"/>
              </w:rPr>
              <w:t>Issues and initiatives raised at BRIDGe workshop meetings</w:t>
            </w:r>
          </w:p>
        </w:tc>
        <w:tc>
          <w:tcPr>
            <w:tcW w:w="3686" w:type="dxa"/>
            <w:shd w:val="clear" w:color="auto" w:fill="D9D9D9" w:themeFill="background1" w:themeFillShade="D9"/>
          </w:tcPr>
          <w:p w:rsidR="00174DFD" w:rsidRDefault="00174DFD" w:rsidP="007D789A">
            <w:pPr>
              <w:spacing w:after="0" w:line="240" w:lineRule="auto"/>
              <w:contextualSpacing/>
              <w:rPr>
                <w:rFonts w:eastAsia="Times New Roman" w:cs="Calibri"/>
                <w:b/>
                <w:sz w:val="24"/>
                <w:szCs w:val="24"/>
              </w:rPr>
            </w:pPr>
            <w:r>
              <w:rPr>
                <w:rFonts w:eastAsia="Times New Roman" w:cs="Calibri"/>
                <w:b/>
                <w:sz w:val="24"/>
                <w:szCs w:val="24"/>
              </w:rPr>
              <w:t>Proposal</w:t>
            </w:r>
          </w:p>
        </w:tc>
        <w:tc>
          <w:tcPr>
            <w:tcW w:w="6985" w:type="dxa"/>
            <w:shd w:val="clear" w:color="auto" w:fill="D9D9D9" w:themeFill="background1" w:themeFillShade="D9"/>
          </w:tcPr>
          <w:p w:rsidR="00174DFD" w:rsidRDefault="00174DFD" w:rsidP="007D789A">
            <w:pPr>
              <w:spacing w:after="0" w:line="240" w:lineRule="auto"/>
              <w:contextualSpacing/>
              <w:rPr>
                <w:rFonts w:eastAsia="Times New Roman" w:cs="Calibri"/>
                <w:b/>
                <w:sz w:val="24"/>
                <w:szCs w:val="24"/>
              </w:rPr>
            </w:pPr>
            <w:r>
              <w:rPr>
                <w:rFonts w:eastAsia="Times New Roman" w:cs="Calibri"/>
                <w:b/>
                <w:sz w:val="24"/>
                <w:szCs w:val="24"/>
              </w:rPr>
              <w:t xml:space="preserve">Questions for Members  </w:t>
            </w:r>
          </w:p>
        </w:tc>
      </w:tr>
      <w:tr w:rsidR="007D789A" w:rsidTr="00590F14">
        <w:tc>
          <w:tcPr>
            <w:tcW w:w="3499" w:type="dxa"/>
          </w:tcPr>
          <w:p w:rsidR="007D789A" w:rsidRDefault="007D789A" w:rsidP="007D789A">
            <w:pPr>
              <w:spacing w:after="0" w:line="240" w:lineRule="auto"/>
            </w:pPr>
            <w:r w:rsidRPr="007D789A">
              <w:t xml:space="preserve">Between the ex-date and the lodgement date in a share consolidation exercise, there is a risk that investors can over-sell their shares as the quantity of shares will only be adjusted at lodgement date. This results in a subsequent force buy-in for the oversold shares. </w:t>
            </w:r>
          </w:p>
          <w:p w:rsidR="007D789A" w:rsidRDefault="007D789A" w:rsidP="007D789A">
            <w:pPr>
              <w:spacing w:after="0" w:line="240" w:lineRule="auto"/>
            </w:pPr>
          </w:p>
          <w:p w:rsidR="007D789A" w:rsidRDefault="007D789A" w:rsidP="007D789A">
            <w:pPr>
              <w:spacing w:after="0" w:line="240" w:lineRule="auto"/>
            </w:pPr>
            <w:r w:rsidRPr="007D789A">
              <w:t xml:space="preserve">Controls are in place to mitigate over-selling, but this involves soft blocking investors from trading between the ex-date and the lodgement date. Manual intervention is required (i.e through remisiers) if investors want to execute a trade during this period. </w:t>
            </w:r>
          </w:p>
          <w:p w:rsidR="007D789A" w:rsidRDefault="007D789A" w:rsidP="007D789A">
            <w:pPr>
              <w:pStyle w:val="ListParagraph"/>
              <w:spacing w:after="0" w:line="240" w:lineRule="auto"/>
              <w:ind w:left="273" w:hanging="284"/>
            </w:pPr>
          </w:p>
          <w:p w:rsidR="00174DFD" w:rsidRPr="007D789A" w:rsidRDefault="00174DFD" w:rsidP="007D789A">
            <w:pPr>
              <w:pStyle w:val="ListParagraph"/>
              <w:spacing w:after="0" w:line="240" w:lineRule="auto"/>
              <w:ind w:left="273"/>
            </w:pPr>
          </w:p>
        </w:tc>
        <w:tc>
          <w:tcPr>
            <w:tcW w:w="3686" w:type="dxa"/>
          </w:tcPr>
          <w:p w:rsidR="007D789A" w:rsidRPr="007D789A" w:rsidRDefault="007D789A" w:rsidP="007D789A">
            <w:pPr>
              <w:autoSpaceDE w:val="0"/>
              <w:autoSpaceDN w:val="0"/>
              <w:adjustRightInd w:val="0"/>
              <w:spacing w:after="0" w:line="240" w:lineRule="auto"/>
              <w:rPr>
                <w:rFonts w:cs="Calibri"/>
              </w:rPr>
            </w:pPr>
            <w:r w:rsidRPr="007D789A">
              <w:rPr>
                <w:rFonts w:cs="Calibri"/>
              </w:rPr>
              <w:t>To allow seamless trading for domestic shares during this period, it is suggested that the adjusted shares be ear-marked on ex-date to mitigate clients and remis</w:t>
            </w:r>
            <w:r w:rsidR="001B650A">
              <w:rPr>
                <w:rFonts w:cs="Calibri"/>
              </w:rPr>
              <w:t>i</w:t>
            </w:r>
            <w:r w:rsidRPr="007D789A">
              <w:rPr>
                <w:rFonts w:cs="Calibri"/>
              </w:rPr>
              <w:t>ers from overselling during a share consolidation exercise. This will need to be done at the broker’s individual OMS level, instead of depository.  </w:t>
            </w:r>
          </w:p>
          <w:p w:rsidR="007D789A" w:rsidRDefault="007D789A" w:rsidP="007D789A">
            <w:pPr>
              <w:pStyle w:val="ListParagraph"/>
              <w:autoSpaceDE w:val="0"/>
              <w:autoSpaceDN w:val="0"/>
              <w:adjustRightInd w:val="0"/>
              <w:spacing w:after="0" w:line="240" w:lineRule="auto"/>
              <w:ind w:left="317"/>
              <w:rPr>
                <w:rFonts w:cs="Calibri"/>
              </w:rPr>
            </w:pPr>
          </w:p>
          <w:p w:rsidR="00174DFD" w:rsidRPr="007D789A" w:rsidRDefault="00174DFD" w:rsidP="007D789A">
            <w:pPr>
              <w:pStyle w:val="ListParagraph"/>
              <w:autoSpaceDE w:val="0"/>
              <w:autoSpaceDN w:val="0"/>
              <w:adjustRightInd w:val="0"/>
              <w:spacing w:after="0" w:line="240" w:lineRule="auto"/>
              <w:ind w:left="317"/>
              <w:rPr>
                <w:rFonts w:cs="Calibri"/>
              </w:rPr>
            </w:pPr>
          </w:p>
        </w:tc>
        <w:tc>
          <w:tcPr>
            <w:tcW w:w="6985" w:type="dxa"/>
          </w:tcPr>
          <w:p w:rsidR="00174DFD" w:rsidRDefault="00174DFD" w:rsidP="007D789A">
            <w:pPr>
              <w:spacing w:after="0" w:line="240" w:lineRule="auto"/>
              <w:contextualSpacing/>
              <w:rPr>
                <w:rFonts w:eastAsia="Times New Roman" w:cs="Calibri"/>
                <w:i/>
                <w:sz w:val="24"/>
                <w:szCs w:val="24"/>
              </w:rPr>
            </w:pPr>
            <w:r>
              <w:rPr>
                <w:rFonts w:eastAsia="Times New Roman" w:cs="Calibri"/>
                <w:i/>
                <w:sz w:val="24"/>
                <w:szCs w:val="24"/>
              </w:rPr>
              <w:t xml:space="preserve">Question 1: </w:t>
            </w:r>
            <w:r w:rsidRPr="007646EE">
              <w:rPr>
                <w:rFonts w:eastAsia="Times New Roman" w:cs="Calibri"/>
                <w:i/>
                <w:sz w:val="24"/>
                <w:szCs w:val="24"/>
              </w:rPr>
              <w:t>Do you agree with this proposal</w:t>
            </w:r>
            <w:r>
              <w:rPr>
                <w:rFonts w:eastAsia="Times New Roman" w:cs="Calibri"/>
                <w:i/>
                <w:sz w:val="24"/>
                <w:szCs w:val="24"/>
              </w:rPr>
              <w:t>? (Yes / No)</w:t>
            </w:r>
          </w:p>
          <w:p w:rsidR="00174DFD" w:rsidRDefault="00174DFD" w:rsidP="007D789A">
            <w:pPr>
              <w:spacing w:after="0" w:line="240" w:lineRule="auto"/>
              <w:contextualSpacing/>
              <w:rPr>
                <w:rFonts w:eastAsia="Times New Roman" w:cs="Calibri"/>
                <w:i/>
                <w:sz w:val="24"/>
                <w:szCs w:val="24"/>
              </w:rPr>
            </w:pPr>
          </w:p>
          <w:p w:rsidR="00174DFD" w:rsidRDefault="00174DFD" w:rsidP="007D789A">
            <w:pPr>
              <w:spacing w:after="0" w:line="240" w:lineRule="auto"/>
              <w:contextualSpacing/>
              <w:rPr>
                <w:rFonts w:eastAsia="Times New Roman" w:cs="Calibri"/>
                <w:i/>
                <w:sz w:val="24"/>
                <w:szCs w:val="24"/>
              </w:rPr>
            </w:pPr>
          </w:p>
          <w:p w:rsidR="00174DFD" w:rsidRDefault="00174DFD" w:rsidP="007D789A">
            <w:pPr>
              <w:spacing w:after="0" w:line="240" w:lineRule="auto"/>
              <w:contextualSpacing/>
              <w:rPr>
                <w:rFonts w:eastAsia="Times New Roman" w:cs="Calibri"/>
                <w:i/>
                <w:sz w:val="24"/>
                <w:szCs w:val="24"/>
              </w:rPr>
            </w:pPr>
          </w:p>
          <w:p w:rsidR="007D789A" w:rsidRPr="007D789A" w:rsidRDefault="007D789A" w:rsidP="007D789A">
            <w:pPr>
              <w:spacing w:after="0" w:line="240" w:lineRule="auto"/>
              <w:contextualSpacing/>
              <w:rPr>
                <w:rFonts w:eastAsia="Times New Roman" w:cs="Calibri"/>
                <w:i/>
                <w:sz w:val="24"/>
                <w:szCs w:val="24"/>
              </w:rPr>
            </w:pPr>
            <w:r w:rsidRPr="007D789A">
              <w:rPr>
                <w:rFonts w:eastAsia="Times New Roman" w:cs="Calibri"/>
                <w:i/>
                <w:sz w:val="24"/>
                <w:szCs w:val="24"/>
              </w:rPr>
              <w:t xml:space="preserve">Question 2: If you do not agree with this proposal, please explain below, the issues/reasons that make this proposal not feasible. </w:t>
            </w:r>
          </w:p>
          <w:p w:rsidR="00174DFD" w:rsidRDefault="00174DFD" w:rsidP="007D789A">
            <w:pPr>
              <w:spacing w:after="0" w:line="240" w:lineRule="auto"/>
              <w:contextualSpacing/>
              <w:rPr>
                <w:rFonts w:eastAsia="Times New Roman" w:cs="Calibri"/>
                <w:i/>
                <w:sz w:val="24"/>
                <w:szCs w:val="24"/>
              </w:rPr>
            </w:pPr>
          </w:p>
          <w:p w:rsidR="00174DFD" w:rsidRDefault="00174DFD" w:rsidP="007D789A">
            <w:pPr>
              <w:spacing w:after="0" w:line="240" w:lineRule="auto"/>
              <w:contextualSpacing/>
              <w:rPr>
                <w:rFonts w:eastAsia="Times New Roman" w:cs="Calibri"/>
                <w:i/>
                <w:sz w:val="24"/>
                <w:szCs w:val="24"/>
              </w:rPr>
            </w:pPr>
          </w:p>
          <w:p w:rsidR="00174DFD" w:rsidRDefault="00174DFD" w:rsidP="007D789A">
            <w:pPr>
              <w:spacing w:after="0" w:line="240" w:lineRule="auto"/>
              <w:contextualSpacing/>
              <w:rPr>
                <w:rFonts w:eastAsia="Times New Roman" w:cs="Calibri"/>
                <w:i/>
                <w:sz w:val="24"/>
                <w:szCs w:val="24"/>
              </w:rPr>
            </w:pPr>
          </w:p>
          <w:p w:rsidR="00174DFD" w:rsidRDefault="00174DFD" w:rsidP="007D789A">
            <w:pPr>
              <w:spacing w:after="0" w:line="240" w:lineRule="auto"/>
              <w:contextualSpacing/>
              <w:rPr>
                <w:rFonts w:eastAsia="Times New Roman" w:cs="Calibri"/>
                <w:i/>
                <w:sz w:val="24"/>
                <w:szCs w:val="24"/>
              </w:rPr>
            </w:pPr>
          </w:p>
          <w:p w:rsidR="00174DFD" w:rsidRDefault="00174DFD" w:rsidP="007D789A">
            <w:pPr>
              <w:spacing w:after="0" w:line="240" w:lineRule="auto"/>
              <w:contextualSpacing/>
              <w:rPr>
                <w:rFonts w:eastAsia="Times New Roman" w:cs="Calibri"/>
                <w:i/>
                <w:sz w:val="24"/>
                <w:szCs w:val="24"/>
              </w:rPr>
            </w:pPr>
            <w:r>
              <w:rPr>
                <w:rFonts w:eastAsia="Times New Roman" w:cs="Calibri"/>
                <w:i/>
                <w:sz w:val="24"/>
                <w:szCs w:val="24"/>
              </w:rPr>
              <w:t>Question 3: Any other comment(s)</w:t>
            </w:r>
          </w:p>
          <w:p w:rsidR="00174DFD" w:rsidRDefault="00174DFD" w:rsidP="007D789A">
            <w:pPr>
              <w:spacing w:after="0" w:line="240" w:lineRule="auto"/>
              <w:contextualSpacing/>
              <w:rPr>
                <w:rFonts w:eastAsia="Times New Roman" w:cs="Calibri"/>
                <w:i/>
                <w:sz w:val="24"/>
                <w:szCs w:val="24"/>
              </w:rPr>
            </w:pPr>
          </w:p>
          <w:p w:rsidR="00174DFD" w:rsidRDefault="00174DFD" w:rsidP="007D789A">
            <w:pPr>
              <w:spacing w:after="0" w:line="240" w:lineRule="auto"/>
              <w:contextualSpacing/>
              <w:rPr>
                <w:rFonts w:eastAsia="Times New Roman" w:cs="Calibri"/>
                <w:i/>
                <w:sz w:val="24"/>
                <w:szCs w:val="24"/>
              </w:rPr>
            </w:pPr>
          </w:p>
          <w:p w:rsidR="00174DFD" w:rsidRDefault="00174DFD" w:rsidP="007D789A">
            <w:pPr>
              <w:spacing w:after="0" w:line="240" w:lineRule="auto"/>
              <w:contextualSpacing/>
              <w:rPr>
                <w:rFonts w:eastAsia="Times New Roman" w:cs="Calibri"/>
                <w:i/>
                <w:sz w:val="24"/>
                <w:szCs w:val="24"/>
              </w:rPr>
            </w:pPr>
          </w:p>
          <w:p w:rsidR="00174DFD" w:rsidRPr="007646EE" w:rsidRDefault="00174DFD" w:rsidP="007D789A">
            <w:pPr>
              <w:spacing w:after="0" w:line="240" w:lineRule="auto"/>
              <w:contextualSpacing/>
              <w:rPr>
                <w:rFonts w:eastAsia="Times New Roman" w:cs="Calibri"/>
                <w:i/>
                <w:sz w:val="24"/>
                <w:szCs w:val="24"/>
              </w:rPr>
            </w:pPr>
          </w:p>
        </w:tc>
      </w:tr>
    </w:tbl>
    <w:p w:rsidR="00174DFD" w:rsidRDefault="00174DFD" w:rsidP="007D789A">
      <w:pPr>
        <w:spacing w:after="0" w:line="240" w:lineRule="auto"/>
        <w:ind w:left="720"/>
        <w:contextualSpacing/>
        <w:rPr>
          <w:rFonts w:eastAsia="Times New Roman" w:cs="Calibri"/>
          <w:b/>
          <w:sz w:val="24"/>
          <w:szCs w:val="24"/>
          <w:lang w:val="en-US"/>
        </w:rPr>
      </w:pPr>
    </w:p>
    <w:p w:rsidR="00174DFD" w:rsidRDefault="00174DFD" w:rsidP="007D789A">
      <w:pPr>
        <w:spacing w:after="0" w:line="240" w:lineRule="auto"/>
        <w:ind w:left="720"/>
        <w:contextualSpacing/>
        <w:rPr>
          <w:rFonts w:eastAsia="Times New Roman" w:cs="Calibri"/>
          <w:b/>
          <w:sz w:val="24"/>
          <w:szCs w:val="24"/>
          <w:lang w:val="en-US"/>
        </w:rPr>
      </w:pPr>
    </w:p>
    <w:p w:rsidR="00174DFD" w:rsidRDefault="00174DFD" w:rsidP="007D789A">
      <w:pPr>
        <w:spacing w:after="0" w:line="240" w:lineRule="auto"/>
        <w:ind w:left="720"/>
        <w:contextualSpacing/>
        <w:rPr>
          <w:rFonts w:eastAsia="Times New Roman" w:cs="Calibri"/>
          <w:b/>
          <w:sz w:val="24"/>
          <w:szCs w:val="24"/>
          <w:lang w:val="en-US"/>
        </w:rPr>
      </w:pPr>
    </w:p>
    <w:p w:rsidR="00174DFD" w:rsidRDefault="00174DFD" w:rsidP="007D789A">
      <w:pPr>
        <w:spacing w:after="0" w:line="240" w:lineRule="auto"/>
        <w:ind w:left="720"/>
        <w:contextualSpacing/>
        <w:rPr>
          <w:rFonts w:eastAsia="Times New Roman" w:cs="Calibri"/>
          <w:b/>
          <w:sz w:val="24"/>
          <w:szCs w:val="24"/>
          <w:lang w:val="en-US"/>
        </w:rPr>
      </w:pPr>
    </w:p>
    <w:p w:rsidR="00174DFD" w:rsidRDefault="00174DFD" w:rsidP="007D789A">
      <w:pPr>
        <w:spacing w:after="0" w:line="240" w:lineRule="auto"/>
        <w:ind w:left="720"/>
        <w:contextualSpacing/>
        <w:rPr>
          <w:rFonts w:eastAsia="Times New Roman" w:cs="Calibri"/>
          <w:b/>
          <w:sz w:val="24"/>
          <w:szCs w:val="24"/>
          <w:lang w:val="en-US"/>
        </w:rPr>
      </w:pPr>
    </w:p>
    <w:p w:rsidR="00174DFD" w:rsidRDefault="00174DFD" w:rsidP="007D789A">
      <w:pPr>
        <w:spacing w:after="0" w:line="240" w:lineRule="auto"/>
        <w:ind w:left="720"/>
        <w:contextualSpacing/>
        <w:rPr>
          <w:rFonts w:eastAsia="Times New Roman" w:cs="Calibri"/>
          <w:b/>
          <w:sz w:val="24"/>
          <w:szCs w:val="24"/>
          <w:lang w:val="en-US"/>
        </w:rPr>
      </w:pPr>
    </w:p>
    <w:p w:rsidR="00174DFD" w:rsidRDefault="00174DFD" w:rsidP="007D789A">
      <w:pPr>
        <w:spacing w:after="0" w:line="240" w:lineRule="auto"/>
        <w:ind w:left="720"/>
        <w:contextualSpacing/>
        <w:rPr>
          <w:rFonts w:eastAsia="Times New Roman" w:cs="Calibri"/>
          <w:b/>
          <w:sz w:val="24"/>
          <w:szCs w:val="24"/>
          <w:lang w:val="en-US"/>
        </w:rPr>
      </w:pPr>
    </w:p>
    <w:p w:rsidR="00174DFD" w:rsidRDefault="00174DFD" w:rsidP="007D789A">
      <w:pPr>
        <w:spacing w:after="0" w:line="240" w:lineRule="auto"/>
        <w:ind w:left="720"/>
        <w:contextualSpacing/>
        <w:rPr>
          <w:rFonts w:eastAsia="Times New Roman" w:cs="Calibri"/>
          <w:b/>
          <w:sz w:val="24"/>
          <w:szCs w:val="24"/>
          <w:lang w:val="en-US"/>
        </w:rPr>
      </w:pPr>
    </w:p>
    <w:p w:rsidR="00174DFD" w:rsidRDefault="00174DFD" w:rsidP="007D789A">
      <w:pPr>
        <w:spacing w:after="0" w:line="240" w:lineRule="auto"/>
        <w:ind w:left="720"/>
        <w:contextualSpacing/>
        <w:rPr>
          <w:rFonts w:eastAsia="Times New Roman" w:cs="Calibri"/>
          <w:b/>
          <w:sz w:val="24"/>
          <w:szCs w:val="24"/>
          <w:lang w:val="en-US"/>
        </w:rPr>
      </w:pPr>
    </w:p>
    <w:p w:rsidR="00174DFD" w:rsidRDefault="00174DFD" w:rsidP="007D789A">
      <w:pPr>
        <w:spacing w:after="0" w:line="240" w:lineRule="auto"/>
        <w:ind w:left="720"/>
        <w:contextualSpacing/>
        <w:rPr>
          <w:rFonts w:eastAsia="Times New Roman" w:cs="Calibri"/>
          <w:b/>
          <w:sz w:val="24"/>
          <w:szCs w:val="24"/>
          <w:lang w:val="en-US"/>
        </w:rPr>
      </w:pPr>
    </w:p>
    <w:p w:rsidR="006A0491" w:rsidRDefault="006A0491" w:rsidP="001C6296">
      <w:pPr>
        <w:numPr>
          <w:ilvl w:val="0"/>
          <w:numId w:val="17"/>
        </w:numPr>
        <w:spacing w:after="0" w:line="240" w:lineRule="auto"/>
        <w:contextualSpacing/>
        <w:rPr>
          <w:rFonts w:eastAsia="Times New Roman" w:cs="Calibri"/>
          <w:b/>
          <w:sz w:val="24"/>
          <w:szCs w:val="24"/>
          <w:lang w:val="en-US"/>
        </w:rPr>
      </w:pPr>
      <w:r w:rsidRPr="006A0491">
        <w:rPr>
          <w:rFonts w:eastAsia="Times New Roman" w:cs="Calibri"/>
          <w:b/>
          <w:sz w:val="24"/>
          <w:szCs w:val="24"/>
          <w:lang w:val="en-US"/>
        </w:rPr>
        <w:t>Brokers to offer e-Rights through their own online platforms instead of relying on the banks to provide this service</w:t>
      </w:r>
    </w:p>
    <w:p w:rsidR="00174DFD" w:rsidRDefault="00174DFD" w:rsidP="007D789A">
      <w:pPr>
        <w:spacing w:after="0" w:line="240" w:lineRule="auto"/>
        <w:ind w:left="720"/>
        <w:contextualSpacing/>
        <w:rPr>
          <w:rFonts w:eastAsia="Times New Roman" w:cs="Calibri"/>
          <w:b/>
          <w:sz w:val="24"/>
          <w:szCs w:val="24"/>
          <w:lang w:val="en-US"/>
        </w:rPr>
      </w:pPr>
    </w:p>
    <w:tbl>
      <w:tblPr>
        <w:tblStyle w:val="TableGrid"/>
        <w:tblW w:w="0" w:type="auto"/>
        <w:tblInd w:w="720" w:type="dxa"/>
        <w:tblLook w:val="04A0" w:firstRow="1" w:lastRow="0" w:firstColumn="1" w:lastColumn="0" w:noHBand="0" w:noVBand="1"/>
      </w:tblPr>
      <w:tblGrid>
        <w:gridCol w:w="3499"/>
        <w:gridCol w:w="3686"/>
        <w:gridCol w:w="6985"/>
      </w:tblGrid>
      <w:tr w:rsidR="00C8082C" w:rsidTr="00590F14">
        <w:tc>
          <w:tcPr>
            <w:tcW w:w="3499" w:type="dxa"/>
            <w:shd w:val="clear" w:color="auto" w:fill="D9D9D9" w:themeFill="background1" w:themeFillShade="D9"/>
          </w:tcPr>
          <w:p w:rsidR="00174DFD" w:rsidRDefault="00CC0ADC" w:rsidP="00CC0ADC">
            <w:pPr>
              <w:spacing w:after="0" w:line="240" w:lineRule="auto"/>
              <w:contextualSpacing/>
              <w:rPr>
                <w:rFonts w:eastAsia="Times New Roman" w:cs="Calibri"/>
                <w:b/>
                <w:sz w:val="24"/>
                <w:szCs w:val="24"/>
              </w:rPr>
            </w:pPr>
            <w:r w:rsidRPr="00CC0ADC">
              <w:rPr>
                <w:rFonts w:eastAsia="Times New Roman" w:cs="Calibri"/>
                <w:b/>
                <w:sz w:val="24"/>
                <w:szCs w:val="24"/>
              </w:rPr>
              <w:t>Issues and initiatives raised at BRIDGe workshop meetings</w:t>
            </w:r>
          </w:p>
        </w:tc>
        <w:tc>
          <w:tcPr>
            <w:tcW w:w="3686" w:type="dxa"/>
            <w:shd w:val="clear" w:color="auto" w:fill="D9D9D9" w:themeFill="background1" w:themeFillShade="D9"/>
          </w:tcPr>
          <w:p w:rsidR="00174DFD" w:rsidRDefault="00174DFD" w:rsidP="007D789A">
            <w:pPr>
              <w:spacing w:after="0" w:line="240" w:lineRule="auto"/>
              <w:contextualSpacing/>
              <w:rPr>
                <w:rFonts w:eastAsia="Times New Roman" w:cs="Calibri"/>
                <w:b/>
                <w:sz w:val="24"/>
                <w:szCs w:val="24"/>
              </w:rPr>
            </w:pPr>
            <w:r>
              <w:rPr>
                <w:rFonts w:eastAsia="Times New Roman" w:cs="Calibri"/>
                <w:b/>
                <w:sz w:val="24"/>
                <w:szCs w:val="24"/>
              </w:rPr>
              <w:t>Proposal</w:t>
            </w:r>
          </w:p>
        </w:tc>
        <w:tc>
          <w:tcPr>
            <w:tcW w:w="6985" w:type="dxa"/>
            <w:shd w:val="clear" w:color="auto" w:fill="D9D9D9" w:themeFill="background1" w:themeFillShade="D9"/>
          </w:tcPr>
          <w:p w:rsidR="00174DFD" w:rsidRDefault="00174DFD" w:rsidP="007D789A">
            <w:pPr>
              <w:spacing w:after="0" w:line="240" w:lineRule="auto"/>
              <w:contextualSpacing/>
              <w:rPr>
                <w:rFonts w:eastAsia="Times New Roman" w:cs="Calibri"/>
                <w:b/>
                <w:sz w:val="24"/>
                <w:szCs w:val="24"/>
              </w:rPr>
            </w:pPr>
            <w:r>
              <w:rPr>
                <w:rFonts w:eastAsia="Times New Roman" w:cs="Calibri"/>
                <w:b/>
                <w:sz w:val="24"/>
                <w:szCs w:val="24"/>
              </w:rPr>
              <w:t xml:space="preserve">Questions for Members  </w:t>
            </w:r>
          </w:p>
        </w:tc>
      </w:tr>
      <w:tr w:rsidR="00C8082C" w:rsidTr="00590F14">
        <w:tc>
          <w:tcPr>
            <w:tcW w:w="3499" w:type="dxa"/>
          </w:tcPr>
          <w:p w:rsidR="00C8082C" w:rsidRDefault="00D85ABA" w:rsidP="00C8082C">
            <w:pPr>
              <w:spacing w:after="0" w:line="240" w:lineRule="auto"/>
            </w:pPr>
            <w:r>
              <w:t xml:space="preserve">Share Registrar brought up the issue of poor response </w:t>
            </w:r>
            <w:r w:rsidR="00C8082C">
              <w:t xml:space="preserve">e-rights </w:t>
            </w:r>
            <w:r>
              <w:t>.</w:t>
            </w:r>
          </w:p>
          <w:p w:rsidR="00C8082C" w:rsidRDefault="00C8082C" w:rsidP="00C8082C">
            <w:pPr>
              <w:spacing w:after="0" w:line="240" w:lineRule="auto"/>
            </w:pPr>
          </w:p>
          <w:p w:rsidR="00174DFD" w:rsidRPr="00841AB3" w:rsidRDefault="00174DFD" w:rsidP="00C8082C">
            <w:pPr>
              <w:spacing w:after="0" w:line="240" w:lineRule="auto"/>
              <w:rPr>
                <w:lang w:val="en-US"/>
              </w:rPr>
            </w:pPr>
          </w:p>
        </w:tc>
        <w:tc>
          <w:tcPr>
            <w:tcW w:w="3686" w:type="dxa"/>
          </w:tcPr>
          <w:p w:rsidR="00174DFD" w:rsidRDefault="00C8082C" w:rsidP="007D789A">
            <w:pPr>
              <w:autoSpaceDE w:val="0"/>
              <w:autoSpaceDN w:val="0"/>
              <w:adjustRightInd w:val="0"/>
              <w:spacing w:after="0" w:line="240" w:lineRule="auto"/>
              <w:jc w:val="both"/>
              <w:rPr>
                <w:rFonts w:cs="Calibri"/>
              </w:rPr>
            </w:pPr>
            <w:r w:rsidRPr="00C8082C">
              <w:rPr>
                <w:rFonts w:cs="Calibri"/>
              </w:rPr>
              <w:t>Brokers to offer e-Rights through their own online platforms instead of relying on the banks to provide this service</w:t>
            </w:r>
            <w:r w:rsidR="001B650A">
              <w:rPr>
                <w:rFonts w:cs="Calibri"/>
              </w:rPr>
              <w:t>.</w:t>
            </w:r>
          </w:p>
        </w:tc>
        <w:tc>
          <w:tcPr>
            <w:tcW w:w="6985" w:type="dxa"/>
          </w:tcPr>
          <w:p w:rsidR="00174DFD" w:rsidRDefault="00174DFD" w:rsidP="007D789A">
            <w:pPr>
              <w:spacing w:after="0" w:line="240" w:lineRule="auto"/>
              <w:contextualSpacing/>
              <w:rPr>
                <w:rFonts w:eastAsia="Times New Roman" w:cs="Calibri"/>
                <w:i/>
                <w:sz w:val="24"/>
                <w:szCs w:val="24"/>
              </w:rPr>
            </w:pPr>
            <w:r>
              <w:rPr>
                <w:rFonts w:eastAsia="Times New Roman" w:cs="Calibri"/>
                <w:i/>
                <w:sz w:val="24"/>
                <w:szCs w:val="24"/>
              </w:rPr>
              <w:t xml:space="preserve">Question 1: </w:t>
            </w:r>
            <w:r w:rsidRPr="007646EE">
              <w:rPr>
                <w:rFonts w:eastAsia="Times New Roman" w:cs="Calibri"/>
                <w:i/>
                <w:sz w:val="24"/>
                <w:szCs w:val="24"/>
              </w:rPr>
              <w:t>Do you agree with this proposal</w:t>
            </w:r>
            <w:r>
              <w:rPr>
                <w:rFonts w:eastAsia="Times New Roman" w:cs="Calibri"/>
                <w:i/>
                <w:sz w:val="24"/>
                <w:szCs w:val="24"/>
              </w:rPr>
              <w:t>? (Yes / No)</w:t>
            </w:r>
          </w:p>
          <w:p w:rsidR="00174DFD" w:rsidRDefault="00174DFD" w:rsidP="007D789A">
            <w:pPr>
              <w:spacing w:after="0" w:line="240" w:lineRule="auto"/>
              <w:contextualSpacing/>
              <w:rPr>
                <w:rFonts w:eastAsia="Times New Roman" w:cs="Calibri"/>
                <w:i/>
                <w:sz w:val="24"/>
                <w:szCs w:val="24"/>
              </w:rPr>
            </w:pPr>
          </w:p>
          <w:p w:rsidR="00174DFD" w:rsidRDefault="00174DFD" w:rsidP="007D789A">
            <w:pPr>
              <w:spacing w:after="0" w:line="240" w:lineRule="auto"/>
              <w:contextualSpacing/>
              <w:rPr>
                <w:rFonts w:eastAsia="Times New Roman" w:cs="Calibri"/>
                <w:i/>
                <w:sz w:val="24"/>
                <w:szCs w:val="24"/>
              </w:rPr>
            </w:pPr>
          </w:p>
          <w:p w:rsidR="00174DFD" w:rsidRDefault="00174DFD" w:rsidP="007D789A">
            <w:pPr>
              <w:spacing w:after="0" w:line="240" w:lineRule="auto"/>
              <w:contextualSpacing/>
              <w:rPr>
                <w:rFonts w:eastAsia="Times New Roman" w:cs="Calibri"/>
                <w:i/>
                <w:sz w:val="24"/>
                <w:szCs w:val="24"/>
              </w:rPr>
            </w:pPr>
          </w:p>
          <w:p w:rsidR="00C8082C" w:rsidRPr="00C8082C" w:rsidRDefault="00C8082C" w:rsidP="00C8082C">
            <w:pPr>
              <w:spacing w:after="0" w:line="240" w:lineRule="auto"/>
              <w:contextualSpacing/>
              <w:rPr>
                <w:rFonts w:eastAsia="Times New Roman" w:cs="Calibri"/>
                <w:i/>
                <w:sz w:val="24"/>
                <w:szCs w:val="24"/>
              </w:rPr>
            </w:pPr>
            <w:r w:rsidRPr="00C8082C">
              <w:rPr>
                <w:rFonts w:eastAsia="Times New Roman" w:cs="Calibri"/>
                <w:i/>
                <w:sz w:val="24"/>
                <w:szCs w:val="24"/>
              </w:rPr>
              <w:t xml:space="preserve">Question 2: If you do not agree with this proposal, please explain below, the issues/reasons that make this proposal not feasible. </w:t>
            </w:r>
          </w:p>
          <w:p w:rsidR="00174DFD" w:rsidRDefault="00174DFD" w:rsidP="007D789A">
            <w:pPr>
              <w:spacing w:after="0" w:line="240" w:lineRule="auto"/>
              <w:contextualSpacing/>
              <w:rPr>
                <w:rFonts w:eastAsia="Times New Roman" w:cs="Calibri"/>
                <w:i/>
                <w:sz w:val="24"/>
                <w:szCs w:val="24"/>
              </w:rPr>
            </w:pPr>
          </w:p>
          <w:p w:rsidR="00174DFD" w:rsidRDefault="00174DFD" w:rsidP="007D789A">
            <w:pPr>
              <w:spacing w:after="0" w:line="240" w:lineRule="auto"/>
              <w:contextualSpacing/>
              <w:rPr>
                <w:rFonts w:eastAsia="Times New Roman" w:cs="Calibri"/>
                <w:i/>
                <w:sz w:val="24"/>
                <w:szCs w:val="24"/>
              </w:rPr>
            </w:pPr>
          </w:p>
          <w:p w:rsidR="00174DFD" w:rsidRDefault="00174DFD" w:rsidP="007D789A">
            <w:pPr>
              <w:spacing w:after="0" w:line="240" w:lineRule="auto"/>
              <w:contextualSpacing/>
              <w:rPr>
                <w:rFonts w:eastAsia="Times New Roman" w:cs="Calibri"/>
                <w:i/>
                <w:sz w:val="24"/>
                <w:szCs w:val="24"/>
              </w:rPr>
            </w:pPr>
          </w:p>
          <w:p w:rsidR="00174DFD" w:rsidRDefault="00174DFD" w:rsidP="007D789A">
            <w:pPr>
              <w:spacing w:after="0" w:line="240" w:lineRule="auto"/>
              <w:contextualSpacing/>
              <w:rPr>
                <w:rFonts w:eastAsia="Times New Roman" w:cs="Calibri"/>
                <w:i/>
                <w:sz w:val="24"/>
                <w:szCs w:val="24"/>
              </w:rPr>
            </w:pPr>
          </w:p>
          <w:p w:rsidR="00174DFD" w:rsidRDefault="00174DFD" w:rsidP="007D789A">
            <w:pPr>
              <w:spacing w:after="0" w:line="240" w:lineRule="auto"/>
              <w:contextualSpacing/>
              <w:rPr>
                <w:rFonts w:eastAsia="Times New Roman" w:cs="Calibri"/>
                <w:i/>
                <w:sz w:val="24"/>
                <w:szCs w:val="24"/>
              </w:rPr>
            </w:pPr>
            <w:r>
              <w:rPr>
                <w:rFonts w:eastAsia="Times New Roman" w:cs="Calibri"/>
                <w:i/>
                <w:sz w:val="24"/>
                <w:szCs w:val="24"/>
              </w:rPr>
              <w:t>Question 3: Any other comment(s)</w:t>
            </w:r>
          </w:p>
          <w:p w:rsidR="00174DFD" w:rsidRDefault="00174DFD" w:rsidP="007D789A">
            <w:pPr>
              <w:spacing w:after="0" w:line="240" w:lineRule="auto"/>
              <w:contextualSpacing/>
              <w:rPr>
                <w:rFonts w:eastAsia="Times New Roman" w:cs="Calibri"/>
                <w:i/>
                <w:sz w:val="24"/>
                <w:szCs w:val="24"/>
              </w:rPr>
            </w:pPr>
          </w:p>
          <w:p w:rsidR="00174DFD" w:rsidRDefault="00174DFD" w:rsidP="007D789A">
            <w:pPr>
              <w:spacing w:after="0" w:line="240" w:lineRule="auto"/>
              <w:contextualSpacing/>
              <w:rPr>
                <w:rFonts w:eastAsia="Times New Roman" w:cs="Calibri"/>
                <w:i/>
                <w:sz w:val="24"/>
                <w:szCs w:val="24"/>
              </w:rPr>
            </w:pPr>
          </w:p>
          <w:p w:rsidR="00174DFD" w:rsidRDefault="00174DFD" w:rsidP="007D789A">
            <w:pPr>
              <w:spacing w:after="0" w:line="240" w:lineRule="auto"/>
              <w:contextualSpacing/>
              <w:rPr>
                <w:rFonts w:eastAsia="Times New Roman" w:cs="Calibri"/>
                <w:i/>
                <w:sz w:val="24"/>
                <w:szCs w:val="24"/>
              </w:rPr>
            </w:pPr>
          </w:p>
          <w:p w:rsidR="00174DFD" w:rsidRPr="007646EE" w:rsidRDefault="00174DFD" w:rsidP="007D789A">
            <w:pPr>
              <w:spacing w:after="0" w:line="240" w:lineRule="auto"/>
              <w:contextualSpacing/>
              <w:rPr>
                <w:rFonts w:eastAsia="Times New Roman" w:cs="Calibri"/>
                <w:i/>
                <w:sz w:val="24"/>
                <w:szCs w:val="24"/>
              </w:rPr>
            </w:pPr>
          </w:p>
        </w:tc>
      </w:tr>
    </w:tbl>
    <w:p w:rsidR="00174DFD" w:rsidRDefault="00174DFD" w:rsidP="007D789A">
      <w:pPr>
        <w:spacing w:after="0" w:line="240" w:lineRule="auto"/>
        <w:ind w:left="720"/>
        <w:contextualSpacing/>
        <w:rPr>
          <w:rFonts w:eastAsia="Times New Roman" w:cs="Calibri"/>
          <w:b/>
          <w:sz w:val="24"/>
          <w:szCs w:val="24"/>
          <w:lang w:val="en-US"/>
        </w:rPr>
      </w:pPr>
    </w:p>
    <w:p w:rsidR="00174DFD" w:rsidRDefault="00174DFD" w:rsidP="007D789A">
      <w:pPr>
        <w:spacing w:after="0" w:line="240" w:lineRule="auto"/>
        <w:ind w:left="720"/>
        <w:contextualSpacing/>
        <w:rPr>
          <w:rFonts w:eastAsia="Times New Roman" w:cs="Calibri"/>
          <w:b/>
          <w:sz w:val="24"/>
          <w:szCs w:val="24"/>
          <w:lang w:val="en-US"/>
        </w:rPr>
      </w:pPr>
    </w:p>
    <w:p w:rsidR="00174DFD" w:rsidRDefault="00174DFD" w:rsidP="007D789A">
      <w:pPr>
        <w:spacing w:after="0" w:line="240" w:lineRule="auto"/>
        <w:ind w:left="720"/>
        <w:contextualSpacing/>
        <w:rPr>
          <w:rFonts w:eastAsia="Times New Roman" w:cs="Calibri"/>
          <w:b/>
          <w:sz w:val="24"/>
          <w:szCs w:val="24"/>
          <w:lang w:val="en-US"/>
        </w:rPr>
      </w:pPr>
    </w:p>
    <w:p w:rsidR="00174DFD" w:rsidRDefault="00174DFD" w:rsidP="007D789A">
      <w:pPr>
        <w:spacing w:after="0" w:line="240" w:lineRule="auto"/>
        <w:ind w:left="720"/>
        <w:contextualSpacing/>
        <w:rPr>
          <w:rFonts w:eastAsia="Times New Roman" w:cs="Calibri"/>
          <w:b/>
          <w:sz w:val="24"/>
          <w:szCs w:val="24"/>
          <w:lang w:val="en-US"/>
        </w:rPr>
      </w:pPr>
    </w:p>
    <w:p w:rsidR="00174DFD" w:rsidRDefault="00174DFD" w:rsidP="007D789A">
      <w:pPr>
        <w:spacing w:after="0" w:line="240" w:lineRule="auto"/>
        <w:ind w:left="720"/>
        <w:contextualSpacing/>
        <w:rPr>
          <w:rFonts w:eastAsia="Times New Roman" w:cs="Calibri"/>
          <w:b/>
          <w:sz w:val="24"/>
          <w:szCs w:val="24"/>
          <w:lang w:val="en-US"/>
        </w:rPr>
      </w:pPr>
    </w:p>
    <w:p w:rsidR="00174DFD" w:rsidRDefault="00174DFD" w:rsidP="007D789A">
      <w:pPr>
        <w:spacing w:after="0" w:line="240" w:lineRule="auto"/>
        <w:ind w:left="720"/>
        <w:contextualSpacing/>
        <w:rPr>
          <w:rFonts w:eastAsia="Times New Roman" w:cs="Calibri"/>
          <w:b/>
          <w:sz w:val="24"/>
          <w:szCs w:val="24"/>
          <w:lang w:val="en-US"/>
        </w:rPr>
      </w:pPr>
    </w:p>
    <w:p w:rsidR="00174DFD" w:rsidRDefault="00174DFD" w:rsidP="007D789A">
      <w:pPr>
        <w:spacing w:after="0" w:line="240" w:lineRule="auto"/>
        <w:ind w:left="720"/>
        <w:contextualSpacing/>
        <w:rPr>
          <w:rFonts w:eastAsia="Times New Roman" w:cs="Calibri"/>
          <w:b/>
          <w:sz w:val="24"/>
          <w:szCs w:val="24"/>
          <w:lang w:val="en-US"/>
        </w:rPr>
      </w:pPr>
    </w:p>
    <w:p w:rsidR="00174DFD" w:rsidRDefault="00174DFD" w:rsidP="007D789A">
      <w:pPr>
        <w:spacing w:after="0" w:line="240" w:lineRule="auto"/>
        <w:ind w:left="720"/>
        <w:contextualSpacing/>
        <w:rPr>
          <w:rFonts w:eastAsia="Times New Roman" w:cs="Calibri"/>
          <w:b/>
          <w:sz w:val="24"/>
          <w:szCs w:val="24"/>
          <w:lang w:val="en-US"/>
        </w:rPr>
      </w:pPr>
    </w:p>
    <w:p w:rsidR="006D1BDD" w:rsidRDefault="006D1BDD" w:rsidP="007D789A">
      <w:pPr>
        <w:spacing w:after="0" w:line="240" w:lineRule="auto"/>
        <w:ind w:left="720"/>
        <w:contextualSpacing/>
        <w:rPr>
          <w:rFonts w:eastAsia="Times New Roman" w:cs="Calibri"/>
          <w:b/>
          <w:sz w:val="24"/>
          <w:szCs w:val="24"/>
          <w:lang w:val="en-US"/>
        </w:rPr>
      </w:pPr>
    </w:p>
    <w:p w:rsidR="00174DFD" w:rsidRDefault="00174DFD" w:rsidP="007D789A">
      <w:pPr>
        <w:spacing w:after="0" w:line="240" w:lineRule="auto"/>
        <w:ind w:left="720"/>
        <w:contextualSpacing/>
        <w:rPr>
          <w:rFonts w:eastAsia="Times New Roman" w:cs="Calibri"/>
          <w:b/>
          <w:sz w:val="24"/>
          <w:szCs w:val="24"/>
          <w:lang w:val="en-US"/>
        </w:rPr>
      </w:pPr>
    </w:p>
    <w:p w:rsidR="00174DFD" w:rsidRDefault="00174DFD" w:rsidP="007D789A">
      <w:pPr>
        <w:spacing w:after="0" w:line="240" w:lineRule="auto"/>
        <w:ind w:left="720"/>
        <w:contextualSpacing/>
        <w:rPr>
          <w:rFonts w:eastAsia="Times New Roman" w:cs="Calibri"/>
          <w:b/>
          <w:sz w:val="24"/>
          <w:szCs w:val="24"/>
          <w:lang w:val="en-US"/>
        </w:rPr>
      </w:pPr>
    </w:p>
    <w:p w:rsidR="00174DFD" w:rsidRDefault="00174DFD" w:rsidP="007D789A">
      <w:pPr>
        <w:spacing w:after="0" w:line="240" w:lineRule="auto"/>
        <w:ind w:left="720"/>
        <w:contextualSpacing/>
        <w:rPr>
          <w:rFonts w:eastAsia="Times New Roman" w:cs="Calibri"/>
          <w:b/>
          <w:sz w:val="24"/>
          <w:szCs w:val="24"/>
          <w:lang w:val="en-US"/>
        </w:rPr>
      </w:pPr>
    </w:p>
    <w:p w:rsidR="006A0491" w:rsidRPr="00D973EA" w:rsidRDefault="006A0491" w:rsidP="001C6296">
      <w:pPr>
        <w:numPr>
          <w:ilvl w:val="0"/>
          <w:numId w:val="17"/>
        </w:numPr>
        <w:spacing w:after="0" w:line="240" w:lineRule="auto"/>
        <w:contextualSpacing/>
        <w:rPr>
          <w:rFonts w:eastAsia="Times New Roman" w:cs="Calibri"/>
          <w:b/>
          <w:sz w:val="24"/>
          <w:szCs w:val="24"/>
          <w:lang w:val="en-US"/>
        </w:rPr>
      </w:pPr>
      <w:r w:rsidRPr="006A0491">
        <w:rPr>
          <w:rFonts w:eastAsia="Times New Roman" w:cs="Calibri"/>
          <w:b/>
          <w:sz w:val="24"/>
          <w:szCs w:val="24"/>
          <w:lang w:val="en-US"/>
        </w:rPr>
        <w:t xml:space="preserve">Move to an opt-in approach instead of opt-out for </w:t>
      </w:r>
      <w:r w:rsidR="00F54266" w:rsidRPr="00F54266">
        <w:rPr>
          <w:rFonts w:eastAsia="Times New Roman" w:cs="Calibri"/>
          <w:b/>
          <w:sz w:val="24"/>
          <w:szCs w:val="24"/>
          <w:lang w:val="en-US"/>
        </w:rPr>
        <w:t xml:space="preserve">client’s acceptance to </w:t>
      </w:r>
      <w:r w:rsidRPr="006A0491">
        <w:rPr>
          <w:rFonts w:eastAsia="Times New Roman" w:cs="Calibri"/>
          <w:b/>
          <w:sz w:val="24"/>
          <w:szCs w:val="24"/>
          <w:lang w:val="en-US"/>
        </w:rPr>
        <w:t>online services</w:t>
      </w:r>
    </w:p>
    <w:p w:rsidR="00D973EA" w:rsidRPr="005D31F9" w:rsidRDefault="00D973EA" w:rsidP="007D789A">
      <w:pPr>
        <w:autoSpaceDE w:val="0"/>
        <w:autoSpaceDN w:val="0"/>
        <w:adjustRightInd w:val="0"/>
        <w:spacing w:after="0" w:line="240" w:lineRule="auto"/>
        <w:jc w:val="both"/>
        <w:rPr>
          <w:rFonts w:eastAsia="Times New Roman" w:cs="Calibri"/>
          <w:b/>
          <w:lang w:val="en-US"/>
        </w:rPr>
      </w:pPr>
    </w:p>
    <w:tbl>
      <w:tblPr>
        <w:tblStyle w:val="TableGrid"/>
        <w:tblW w:w="0" w:type="auto"/>
        <w:tblInd w:w="720" w:type="dxa"/>
        <w:tblLook w:val="04A0" w:firstRow="1" w:lastRow="0" w:firstColumn="1" w:lastColumn="0" w:noHBand="0" w:noVBand="1"/>
      </w:tblPr>
      <w:tblGrid>
        <w:gridCol w:w="3499"/>
        <w:gridCol w:w="3686"/>
        <w:gridCol w:w="6985"/>
      </w:tblGrid>
      <w:tr w:rsidR="00FE3EEE" w:rsidTr="00590F14">
        <w:tc>
          <w:tcPr>
            <w:tcW w:w="3499" w:type="dxa"/>
            <w:shd w:val="clear" w:color="auto" w:fill="D9D9D9" w:themeFill="background1" w:themeFillShade="D9"/>
          </w:tcPr>
          <w:p w:rsidR="00174DFD" w:rsidRDefault="00CC0ADC" w:rsidP="00CC0ADC">
            <w:pPr>
              <w:spacing w:after="0" w:line="240" w:lineRule="auto"/>
              <w:contextualSpacing/>
              <w:rPr>
                <w:rFonts w:eastAsia="Times New Roman" w:cs="Calibri"/>
                <w:b/>
                <w:sz w:val="24"/>
                <w:szCs w:val="24"/>
              </w:rPr>
            </w:pPr>
            <w:r w:rsidRPr="00CC0ADC">
              <w:rPr>
                <w:rFonts w:eastAsia="Times New Roman" w:cs="Calibri"/>
                <w:b/>
                <w:sz w:val="24"/>
                <w:szCs w:val="24"/>
              </w:rPr>
              <w:t>Issues and initiatives raised at BRIDGe workshop meetings</w:t>
            </w:r>
          </w:p>
        </w:tc>
        <w:tc>
          <w:tcPr>
            <w:tcW w:w="3686" w:type="dxa"/>
            <w:shd w:val="clear" w:color="auto" w:fill="D9D9D9" w:themeFill="background1" w:themeFillShade="D9"/>
          </w:tcPr>
          <w:p w:rsidR="00174DFD" w:rsidRDefault="00174DFD" w:rsidP="007D789A">
            <w:pPr>
              <w:spacing w:after="0" w:line="240" w:lineRule="auto"/>
              <w:contextualSpacing/>
              <w:rPr>
                <w:rFonts w:eastAsia="Times New Roman" w:cs="Calibri"/>
                <w:b/>
                <w:sz w:val="24"/>
                <w:szCs w:val="24"/>
              </w:rPr>
            </w:pPr>
            <w:r>
              <w:rPr>
                <w:rFonts w:eastAsia="Times New Roman" w:cs="Calibri"/>
                <w:b/>
                <w:sz w:val="24"/>
                <w:szCs w:val="24"/>
              </w:rPr>
              <w:t>Proposal</w:t>
            </w:r>
          </w:p>
        </w:tc>
        <w:tc>
          <w:tcPr>
            <w:tcW w:w="6985" w:type="dxa"/>
            <w:shd w:val="clear" w:color="auto" w:fill="D9D9D9" w:themeFill="background1" w:themeFillShade="D9"/>
          </w:tcPr>
          <w:p w:rsidR="00174DFD" w:rsidRDefault="00174DFD" w:rsidP="007D789A">
            <w:pPr>
              <w:spacing w:after="0" w:line="240" w:lineRule="auto"/>
              <w:contextualSpacing/>
              <w:rPr>
                <w:rFonts w:eastAsia="Times New Roman" w:cs="Calibri"/>
                <w:b/>
                <w:sz w:val="24"/>
                <w:szCs w:val="24"/>
              </w:rPr>
            </w:pPr>
            <w:r>
              <w:rPr>
                <w:rFonts w:eastAsia="Times New Roman" w:cs="Calibri"/>
                <w:b/>
                <w:sz w:val="24"/>
                <w:szCs w:val="24"/>
              </w:rPr>
              <w:t xml:space="preserve">Questions for Members  </w:t>
            </w:r>
          </w:p>
        </w:tc>
      </w:tr>
      <w:tr w:rsidR="00174DFD" w:rsidTr="00590F14">
        <w:tc>
          <w:tcPr>
            <w:tcW w:w="3499" w:type="dxa"/>
          </w:tcPr>
          <w:p w:rsidR="00FE3EEE" w:rsidRDefault="00FE3EEE" w:rsidP="00FE3EEE">
            <w:pPr>
              <w:spacing w:after="0" w:line="240" w:lineRule="auto"/>
            </w:pPr>
            <w:r w:rsidRPr="00FE3EEE">
              <w:t>Notifications are an integral part of all corporate act</w:t>
            </w:r>
            <w:r w:rsidR="007548B0">
              <w:t xml:space="preserve">ions and should be automated to achieve efficiency. </w:t>
            </w:r>
          </w:p>
          <w:p w:rsidR="007548B0" w:rsidRDefault="007548B0" w:rsidP="00FE3EEE">
            <w:pPr>
              <w:spacing w:after="0" w:line="240" w:lineRule="auto"/>
            </w:pPr>
          </w:p>
          <w:p w:rsidR="007548B0" w:rsidRDefault="007548B0" w:rsidP="00FE3EEE">
            <w:pPr>
              <w:spacing w:after="0" w:line="240" w:lineRule="auto"/>
            </w:pPr>
            <w:r>
              <w:t xml:space="preserve">Client’s acceptance to online service is crucial to achieve automation. </w:t>
            </w:r>
          </w:p>
          <w:p w:rsidR="00FE3EEE" w:rsidRDefault="00FE3EEE" w:rsidP="00FE3EEE">
            <w:pPr>
              <w:spacing w:after="0" w:line="240" w:lineRule="auto"/>
            </w:pPr>
          </w:p>
          <w:p w:rsidR="00174DFD" w:rsidRPr="00FE3EEE" w:rsidRDefault="00174DFD" w:rsidP="007548B0">
            <w:pPr>
              <w:spacing w:after="0" w:line="240" w:lineRule="auto"/>
              <w:rPr>
                <w:lang w:val="en-US"/>
              </w:rPr>
            </w:pPr>
          </w:p>
        </w:tc>
        <w:tc>
          <w:tcPr>
            <w:tcW w:w="3686" w:type="dxa"/>
          </w:tcPr>
          <w:p w:rsidR="00174DFD" w:rsidRDefault="00FE3EEE" w:rsidP="00FE3EEE">
            <w:pPr>
              <w:autoSpaceDE w:val="0"/>
              <w:autoSpaceDN w:val="0"/>
              <w:adjustRightInd w:val="0"/>
              <w:spacing w:after="0" w:line="240" w:lineRule="auto"/>
              <w:jc w:val="both"/>
              <w:rPr>
                <w:rFonts w:cs="Calibri"/>
                <w:lang w:val="en-US"/>
              </w:rPr>
            </w:pPr>
            <w:r>
              <w:rPr>
                <w:rFonts w:cs="Calibri"/>
              </w:rPr>
              <w:t xml:space="preserve">Industry should move </w:t>
            </w:r>
            <w:r w:rsidR="00325887" w:rsidRPr="00325887">
              <w:rPr>
                <w:rFonts w:cs="Calibri"/>
                <w:lang w:val="en-US"/>
              </w:rPr>
              <w:t xml:space="preserve">to an opt-in approach instead of opt-out for </w:t>
            </w:r>
            <w:r>
              <w:rPr>
                <w:rFonts w:cs="Calibri"/>
                <w:lang w:val="en-US"/>
              </w:rPr>
              <w:t xml:space="preserve">client’s acceptance to the </w:t>
            </w:r>
            <w:r w:rsidR="00325887" w:rsidRPr="00325887">
              <w:rPr>
                <w:rFonts w:cs="Calibri"/>
                <w:lang w:val="en-US"/>
              </w:rPr>
              <w:t>online services</w:t>
            </w:r>
            <w:r w:rsidR="00325887">
              <w:rPr>
                <w:rFonts w:cs="Calibri"/>
                <w:lang w:val="en-US"/>
              </w:rPr>
              <w:t>.</w:t>
            </w:r>
          </w:p>
          <w:p w:rsidR="002B3B87" w:rsidRDefault="002B3B87" w:rsidP="00FE3EEE">
            <w:pPr>
              <w:autoSpaceDE w:val="0"/>
              <w:autoSpaceDN w:val="0"/>
              <w:adjustRightInd w:val="0"/>
              <w:spacing w:after="0" w:line="240" w:lineRule="auto"/>
              <w:jc w:val="both"/>
              <w:rPr>
                <w:rFonts w:cs="Calibri"/>
                <w:lang w:val="en-US"/>
              </w:rPr>
            </w:pPr>
          </w:p>
          <w:p w:rsidR="002B3B87" w:rsidRDefault="00AE4F3D" w:rsidP="00AE4F3D">
            <w:pPr>
              <w:autoSpaceDE w:val="0"/>
              <w:autoSpaceDN w:val="0"/>
              <w:adjustRightInd w:val="0"/>
              <w:spacing w:after="0" w:line="240" w:lineRule="auto"/>
              <w:jc w:val="both"/>
              <w:rPr>
                <w:rFonts w:cs="Calibri"/>
              </w:rPr>
            </w:pPr>
            <w:r>
              <w:rPr>
                <w:rFonts w:cs="Calibri"/>
              </w:rPr>
              <w:t>An example of the-opt in approach is</w:t>
            </w:r>
            <w:r w:rsidR="007548B0">
              <w:rPr>
                <w:rFonts w:cs="Calibri"/>
              </w:rPr>
              <w:t xml:space="preserve"> </w:t>
            </w:r>
            <w:r>
              <w:rPr>
                <w:rFonts w:cs="Calibri"/>
              </w:rPr>
              <w:t>requesting</w:t>
            </w:r>
            <w:r w:rsidR="007548B0" w:rsidRPr="007548B0">
              <w:rPr>
                <w:rFonts w:cs="Calibri"/>
              </w:rPr>
              <w:t xml:space="preserve"> </w:t>
            </w:r>
            <w:r w:rsidR="007548B0">
              <w:rPr>
                <w:rFonts w:cs="Calibri"/>
              </w:rPr>
              <w:t xml:space="preserve">client’s </w:t>
            </w:r>
            <w:r w:rsidR="007548B0" w:rsidRPr="007548B0">
              <w:rPr>
                <w:rFonts w:cs="Calibri"/>
              </w:rPr>
              <w:t xml:space="preserve">email </w:t>
            </w:r>
            <w:r w:rsidR="007548B0">
              <w:rPr>
                <w:rFonts w:cs="Calibri"/>
              </w:rPr>
              <w:t xml:space="preserve">address as a  </w:t>
            </w:r>
            <w:r w:rsidR="007548B0" w:rsidRPr="007548B0">
              <w:rPr>
                <w:rFonts w:cs="Calibri"/>
              </w:rPr>
              <w:t xml:space="preserve"> mandatory fie</w:t>
            </w:r>
            <w:r w:rsidR="007548B0">
              <w:rPr>
                <w:rFonts w:cs="Calibri"/>
              </w:rPr>
              <w:t xml:space="preserve">ld in all account opening forms. </w:t>
            </w:r>
            <w:r>
              <w:rPr>
                <w:rFonts w:cs="Calibri"/>
              </w:rPr>
              <w:t>This will fa</w:t>
            </w:r>
            <w:r w:rsidRPr="00AE4F3D">
              <w:rPr>
                <w:rFonts w:cs="Calibri"/>
              </w:rPr>
              <w:t>cilitate smooth migration to e-notification</w:t>
            </w:r>
            <w:r>
              <w:rPr>
                <w:rFonts w:cs="Calibri"/>
              </w:rPr>
              <w:t>.</w:t>
            </w:r>
          </w:p>
        </w:tc>
        <w:tc>
          <w:tcPr>
            <w:tcW w:w="6985" w:type="dxa"/>
          </w:tcPr>
          <w:p w:rsidR="00174DFD" w:rsidRDefault="00174DFD" w:rsidP="007D789A">
            <w:pPr>
              <w:spacing w:after="0" w:line="240" w:lineRule="auto"/>
              <w:contextualSpacing/>
              <w:rPr>
                <w:rFonts w:eastAsia="Times New Roman" w:cs="Calibri"/>
                <w:i/>
                <w:sz w:val="24"/>
                <w:szCs w:val="24"/>
              </w:rPr>
            </w:pPr>
            <w:r>
              <w:rPr>
                <w:rFonts w:eastAsia="Times New Roman" w:cs="Calibri"/>
                <w:i/>
                <w:sz w:val="24"/>
                <w:szCs w:val="24"/>
              </w:rPr>
              <w:t xml:space="preserve">Question 1: </w:t>
            </w:r>
            <w:r w:rsidRPr="007646EE">
              <w:rPr>
                <w:rFonts w:eastAsia="Times New Roman" w:cs="Calibri"/>
                <w:i/>
                <w:sz w:val="24"/>
                <w:szCs w:val="24"/>
              </w:rPr>
              <w:t>Do you agree with this proposal</w:t>
            </w:r>
            <w:r>
              <w:rPr>
                <w:rFonts w:eastAsia="Times New Roman" w:cs="Calibri"/>
                <w:i/>
                <w:sz w:val="24"/>
                <w:szCs w:val="24"/>
              </w:rPr>
              <w:t>? (Yes / No)</w:t>
            </w:r>
          </w:p>
          <w:p w:rsidR="00174DFD" w:rsidRDefault="00174DFD" w:rsidP="007D789A">
            <w:pPr>
              <w:spacing w:after="0" w:line="240" w:lineRule="auto"/>
              <w:contextualSpacing/>
              <w:rPr>
                <w:rFonts w:eastAsia="Times New Roman" w:cs="Calibri"/>
                <w:i/>
                <w:sz w:val="24"/>
                <w:szCs w:val="24"/>
              </w:rPr>
            </w:pPr>
          </w:p>
          <w:p w:rsidR="00174DFD" w:rsidRDefault="00174DFD" w:rsidP="007D789A">
            <w:pPr>
              <w:spacing w:after="0" w:line="240" w:lineRule="auto"/>
              <w:contextualSpacing/>
              <w:rPr>
                <w:rFonts w:eastAsia="Times New Roman" w:cs="Calibri"/>
                <w:i/>
                <w:sz w:val="24"/>
                <w:szCs w:val="24"/>
              </w:rPr>
            </w:pPr>
          </w:p>
          <w:p w:rsidR="00174DFD" w:rsidRDefault="00174DFD" w:rsidP="007D789A">
            <w:pPr>
              <w:spacing w:after="0" w:line="240" w:lineRule="auto"/>
              <w:contextualSpacing/>
              <w:rPr>
                <w:rFonts w:eastAsia="Times New Roman" w:cs="Calibri"/>
                <w:i/>
                <w:sz w:val="24"/>
                <w:szCs w:val="24"/>
              </w:rPr>
            </w:pPr>
          </w:p>
          <w:p w:rsidR="00174DFD" w:rsidRDefault="00C8082C" w:rsidP="007D789A">
            <w:pPr>
              <w:spacing w:after="0" w:line="240" w:lineRule="auto"/>
              <w:contextualSpacing/>
              <w:rPr>
                <w:rFonts w:eastAsia="Times New Roman" w:cs="Calibri"/>
                <w:i/>
                <w:sz w:val="24"/>
                <w:szCs w:val="24"/>
              </w:rPr>
            </w:pPr>
            <w:r w:rsidRPr="00C8082C">
              <w:rPr>
                <w:rFonts w:eastAsia="Times New Roman" w:cs="Calibri"/>
                <w:i/>
                <w:sz w:val="24"/>
                <w:szCs w:val="24"/>
              </w:rPr>
              <w:t xml:space="preserve">Question 2: If you do not agree with this proposal, please explain below, the issues/reasons that make this proposal not feasible. </w:t>
            </w:r>
          </w:p>
          <w:p w:rsidR="00174DFD" w:rsidRDefault="00174DFD" w:rsidP="007D789A">
            <w:pPr>
              <w:spacing w:after="0" w:line="240" w:lineRule="auto"/>
              <w:contextualSpacing/>
              <w:rPr>
                <w:rFonts w:eastAsia="Times New Roman" w:cs="Calibri"/>
                <w:i/>
                <w:sz w:val="24"/>
                <w:szCs w:val="24"/>
              </w:rPr>
            </w:pPr>
          </w:p>
          <w:p w:rsidR="00174DFD" w:rsidRDefault="00174DFD" w:rsidP="007D789A">
            <w:pPr>
              <w:spacing w:after="0" w:line="240" w:lineRule="auto"/>
              <w:contextualSpacing/>
              <w:rPr>
                <w:rFonts w:eastAsia="Times New Roman" w:cs="Calibri"/>
                <w:i/>
                <w:sz w:val="24"/>
                <w:szCs w:val="24"/>
              </w:rPr>
            </w:pPr>
          </w:p>
          <w:p w:rsidR="00AE4F3D" w:rsidRDefault="00AE4F3D" w:rsidP="007D789A">
            <w:pPr>
              <w:spacing w:after="0" w:line="240" w:lineRule="auto"/>
              <w:contextualSpacing/>
              <w:rPr>
                <w:rFonts w:eastAsia="Times New Roman" w:cs="Calibri"/>
                <w:i/>
                <w:sz w:val="24"/>
                <w:szCs w:val="24"/>
              </w:rPr>
            </w:pPr>
          </w:p>
          <w:p w:rsidR="00AE4F3D" w:rsidRDefault="00AE4F3D" w:rsidP="007D789A">
            <w:pPr>
              <w:spacing w:after="0" w:line="240" w:lineRule="auto"/>
              <w:contextualSpacing/>
              <w:rPr>
                <w:rFonts w:eastAsia="Times New Roman" w:cs="Calibri"/>
                <w:i/>
                <w:sz w:val="24"/>
                <w:szCs w:val="24"/>
              </w:rPr>
            </w:pPr>
          </w:p>
          <w:p w:rsidR="00174DFD" w:rsidRDefault="00174DFD" w:rsidP="007D789A">
            <w:pPr>
              <w:spacing w:after="0" w:line="240" w:lineRule="auto"/>
              <w:contextualSpacing/>
              <w:rPr>
                <w:rFonts w:eastAsia="Times New Roman" w:cs="Calibri"/>
                <w:i/>
                <w:sz w:val="24"/>
                <w:szCs w:val="24"/>
              </w:rPr>
            </w:pPr>
          </w:p>
          <w:p w:rsidR="00174DFD" w:rsidRDefault="00174DFD" w:rsidP="007D789A">
            <w:pPr>
              <w:spacing w:after="0" w:line="240" w:lineRule="auto"/>
              <w:contextualSpacing/>
              <w:rPr>
                <w:rFonts w:eastAsia="Times New Roman" w:cs="Calibri"/>
                <w:i/>
                <w:sz w:val="24"/>
                <w:szCs w:val="24"/>
              </w:rPr>
            </w:pPr>
            <w:r>
              <w:rPr>
                <w:rFonts w:eastAsia="Times New Roman" w:cs="Calibri"/>
                <w:i/>
                <w:sz w:val="24"/>
                <w:szCs w:val="24"/>
              </w:rPr>
              <w:t>Question 3: Any other comment(s)</w:t>
            </w:r>
          </w:p>
          <w:p w:rsidR="00174DFD" w:rsidRDefault="00174DFD" w:rsidP="007D789A">
            <w:pPr>
              <w:spacing w:after="0" w:line="240" w:lineRule="auto"/>
              <w:contextualSpacing/>
              <w:rPr>
                <w:rFonts w:eastAsia="Times New Roman" w:cs="Calibri"/>
                <w:i/>
                <w:sz w:val="24"/>
                <w:szCs w:val="24"/>
              </w:rPr>
            </w:pPr>
          </w:p>
          <w:p w:rsidR="00174DFD" w:rsidRDefault="00174DFD" w:rsidP="007D789A">
            <w:pPr>
              <w:spacing w:after="0" w:line="240" w:lineRule="auto"/>
              <w:contextualSpacing/>
              <w:rPr>
                <w:rFonts w:eastAsia="Times New Roman" w:cs="Calibri"/>
                <w:i/>
                <w:sz w:val="24"/>
                <w:szCs w:val="24"/>
              </w:rPr>
            </w:pPr>
          </w:p>
          <w:p w:rsidR="00174DFD" w:rsidRDefault="00174DFD" w:rsidP="007D789A">
            <w:pPr>
              <w:spacing w:after="0" w:line="240" w:lineRule="auto"/>
              <w:contextualSpacing/>
              <w:rPr>
                <w:rFonts w:eastAsia="Times New Roman" w:cs="Calibri"/>
                <w:i/>
                <w:sz w:val="24"/>
                <w:szCs w:val="24"/>
              </w:rPr>
            </w:pPr>
          </w:p>
          <w:p w:rsidR="00174DFD" w:rsidRPr="007646EE" w:rsidRDefault="00174DFD" w:rsidP="007D789A">
            <w:pPr>
              <w:spacing w:after="0" w:line="240" w:lineRule="auto"/>
              <w:contextualSpacing/>
              <w:rPr>
                <w:rFonts w:eastAsia="Times New Roman" w:cs="Calibri"/>
                <w:i/>
                <w:sz w:val="24"/>
                <w:szCs w:val="24"/>
              </w:rPr>
            </w:pPr>
          </w:p>
        </w:tc>
      </w:tr>
    </w:tbl>
    <w:p w:rsidR="001D6B62" w:rsidRPr="005D31F9" w:rsidRDefault="001D6B62" w:rsidP="007D789A">
      <w:pPr>
        <w:autoSpaceDE w:val="0"/>
        <w:autoSpaceDN w:val="0"/>
        <w:adjustRightInd w:val="0"/>
        <w:spacing w:after="0" w:line="240" w:lineRule="auto"/>
        <w:jc w:val="both"/>
        <w:rPr>
          <w:rFonts w:eastAsia="Times New Roman" w:cs="Calibri"/>
          <w:b/>
          <w:lang w:val="en-US"/>
        </w:rPr>
      </w:pPr>
    </w:p>
    <w:p w:rsidR="004C5CAF" w:rsidRPr="005D31F9" w:rsidRDefault="004C5CAF" w:rsidP="007D789A">
      <w:pPr>
        <w:pStyle w:val="ListParagraph"/>
        <w:autoSpaceDE w:val="0"/>
        <w:autoSpaceDN w:val="0"/>
        <w:adjustRightInd w:val="0"/>
        <w:spacing w:after="0" w:line="240" w:lineRule="auto"/>
        <w:jc w:val="both"/>
        <w:rPr>
          <w:rFonts w:eastAsia="Times New Roman" w:cs="Calibri"/>
          <w:lang w:val="en-US"/>
        </w:rPr>
      </w:pPr>
    </w:p>
    <w:sectPr w:rsidR="004C5CAF" w:rsidRPr="005D31F9" w:rsidSect="00784114">
      <w:headerReference w:type="default" r:id="rId9"/>
      <w:footerReference w:type="default" r:id="rId10"/>
      <w:pgSz w:w="16834" w:h="11909" w:orient="landscape" w:code="9"/>
      <w:pgMar w:top="994" w:right="1620" w:bottom="1296" w:left="5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D88" w:rsidRDefault="00175D88" w:rsidP="00CF0251">
      <w:pPr>
        <w:spacing w:after="0" w:line="240" w:lineRule="auto"/>
      </w:pPr>
      <w:r>
        <w:separator/>
      </w:r>
    </w:p>
  </w:endnote>
  <w:endnote w:type="continuationSeparator" w:id="0">
    <w:p w:rsidR="00175D88" w:rsidRDefault="00175D88" w:rsidP="00CF0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977039"/>
      <w:docPartObj>
        <w:docPartGallery w:val="Page Numbers (Bottom of Page)"/>
        <w:docPartUnique/>
      </w:docPartObj>
    </w:sdtPr>
    <w:sdtEndPr/>
    <w:sdtContent>
      <w:sdt>
        <w:sdtPr>
          <w:id w:val="860082579"/>
          <w:docPartObj>
            <w:docPartGallery w:val="Page Numbers (Top of Page)"/>
            <w:docPartUnique/>
          </w:docPartObj>
        </w:sdtPr>
        <w:sdtEndPr/>
        <w:sdtContent>
          <w:p w:rsidR="00D973EA" w:rsidRDefault="00D973E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75D8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75D88">
              <w:rPr>
                <w:b/>
                <w:bCs/>
                <w:noProof/>
              </w:rPr>
              <w:t>1</w:t>
            </w:r>
            <w:r>
              <w:rPr>
                <w:b/>
                <w:bCs/>
                <w:sz w:val="24"/>
                <w:szCs w:val="24"/>
              </w:rPr>
              <w:fldChar w:fldCharType="end"/>
            </w:r>
          </w:p>
        </w:sdtContent>
      </w:sdt>
    </w:sdtContent>
  </w:sdt>
  <w:p w:rsidR="00D973EA" w:rsidRDefault="00D973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D88" w:rsidRDefault="00175D88" w:rsidP="00CF0251">
      <w:pPr>
        <w:spacing w:after="0" w:line="240" w:lineRule="auto"/>
      </w:pPr>
      <w:r>
        <w:separator/>
      </w:r>
    </w:p>
  </w:footnote>
  <w:footnote w:type="continuationSeparator" w:id="0">
    <w:p w:rsidR="00175D88" w:rsidRDefault="00175D88" w:rsidP="00CF02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E4F" w:rsidRPr="00B73E28" w:rsidRDefault="00B73E28">
    <w:pPr>
      <w:pStyle w:val="Header"/>
      <w:jc w:val="center"/>
      <w:rPr>
        <w:rFonts w:cs="Calibri"/>
        <w:b/>
        <w:sz w:val="24"/>
        <w:szCs w:val="24"/>
      </w:rPr>
    </w:pPr>
    <w:r w:rsidRPr="00B73E28">
      <w:rPr>
        <w:rFonts w:cs="Calibri"/>
        <w:b/>
        <w:sz w:val="24"/>
        <w:szCs w:val="24"/>
      </w:rPr>
      <w:t>REPLY FORM</w:t>
    </w:r>
  </w:p>
  <w:p w:rsidR="00E74E4F" w:rsidRPr="00B73E28" w:rsidRDefault="00CF0251">
    <w:pPr>
      <w:pStyle w:val="Header"/>
      <w:jc w:val="center"/>
      <w:rPr>
        <w:rFonts w:cs="Calibri"/>
        <w:b/>
        <w:sz w:val="24"/>
        <w:szCs w:val="24"/>
      </w:rPr>
    </w:pPr>
    <w:r w:rsidRPr="00B73E28">
      <w:rPr>
        <w:rFonts w:cs="Calibri"/>
        <w:b/>
        <w:sz w:val="24"/>
        <w:szCs w:val="24"/>
      </w:rPr>
      <w:t>OF MEMORANDUM 00</w:t>
    </w:r>
    <w:r w:rsidR="00784114">
      <w:rPr>
        <w:rFonts w:cs="Calibri"/>
        <w:b/>
        <w:sz w:val="24"/>
        <w:szCs w:val="24"/>
      </w:rPr>
      <w:t>3</w:t>
    </w:r>
    <w:r w:rsidR="00537EE4">
      <w:rPr>
        <w:rFonts w:cs="Calibri"/>
        <w:b/>
        <w:sz w:val="24"/>
        <w:szCs w:val="24"/>
      </w:rPr>
      <w:t>5</w:t>
    </w:r>
    <w:r w:rsidR="0054555A">
      <w:rPr>
        <w:rFonts w:cs="Calibri"/>
        <w:b/>
        <w:sz w:val="24"/>
        <w:szCs w:val="24"/>
      </w:rPr>
      <w:t xml:space="preserve"> OF 201</w:t>
    </w:r>
    <w:r w:rsidR="00784114">
      <w:rPr>
        <w:rFonts w:cs="Calibri"/>
        <w:b/>
        <w:sz w:val="24"/>
        <w:szCs w:val="24"/>
      </w:rPr>
      <w:t>8</w:t>
    </w:r>
    <w:r w:rsidRPr="00B73E28">
      <w:rPr>
        <w:rFonts w:cs="Calibri"/>
        <w:b/>
        <w:sz w:val="24"/>
        <w:szCs w:val="24"/>
      </w:rPr>
      <w:t>/PO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C325B"/>
    <w:multiLevelType w:val="hybridMultilevel"/>
    <w:tmpl w:val="0D48D252"/>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0C555D43"/>
    <w:multiLevelType w:val="hybridMultilevel"/>
    <w:tmpl w:val="1B9EF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E77C1"/>
    <w:multiLevelType w:val="hybridMultilevel"/>
    <w:tmpl w:val="CE76FFF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17B94E51"/>
    <w:multiLevelType w:val="hybridMultilevel"/>
    <w:tmpl w:val="DA6C08B0"/>
    <w:lvl w:ilvl="0" w:tplc="8904F658">
      <w:start w:val="2"/>
      <w:numFmt w:val="decimal"/>
      <w:lvlText w:val="%1."/>
      <w:lvlJc w:val="left"/>
      <w:pPr>
        <w:ind w:left="360" w:hanging="360"/>
      </w:pPr>
      <w:rPr>
        <w:rFonts w:hint="default"/>
        <w:b w:val="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
    <w:nsid w:val="192D106D"/>
    <w:multiLevelType w:val="hybridMultilevel"/>
    <w:tmpl w:val="D00CDB08"/>
    <w:lvl w:ilvl="0" w:tplc="44090017">
      <w:start w:val="1"/>
      <w:numFmt w:val="lowerLetter"/>
      <w:lvlText w:val="%1)"/>
      <w:lvlJc w:val="left"/>
      <w:pPr>
        <w:ind w:left="890" w:hanging="360"/>
      </w:pPr>
    </w:lvl>
    <w:lvl w:ilvl="1" w:tplc="44090019" w:tentative="1">
      <w:start w:val="1"/>
      <w:numFmt w:val="lowerLetter"/>
      <w:lvlText w:val="%2."/>
      <w:lvlJc w:val="left"/>
      <w:pPr>
        <w:ind w:left="1610" w:hanging="360"/>
      </w:pPr>
    </w:lvl>
    <w:lvl w:ilvl="2" w:tplc="4409001B" w:tentative="1">
      <w:start w:val="1"/>
      <w:numFmt w:val="lowerRoman"/>
      <w:lvlText w:val="%3."/>
      <w:lvlJc w:val="right"/>
      <w:pPr>
        <w:ind w:left="2330" w:hanging="180"/>
      </w:pPr>
    </w:lvl>
    <w:lvl w:ilvl="3" w:tplc="4409000F" w:tentative="1">
      <w:start w:val="1"/>
      <w:numFmt w:val="decimal"/>
      <w:lvlText w:val="%4."/>
      <w:lvlJc w:val="left"/>
      <w:pPr>
        <w:ind w:left="3050" w:hanging="360"/>
      </w:pPr>
    </w:lvl>
    <w:lvl w:ilvl="4" w:tplc="44090019" w:tentative="1">
      <w:start w:val="1"/>
      <w:numFmt w:val="lowerLetter"/>
      <w:lvlText w:val="%5."/>
      <w:lvlJc w:val="left"/>
      <w:pPr>
        <w:ind w:left="3770" w:hanging="360"/>
      </w:pPr>
    </w:lvl>
    <w:lvl w:ilvl="5" w:tplc="4409001B" w:tentative="1">
      <w:start w:val="1"/>
      <w:numFmt w:val="lowerRoman"/>
      <w:lvlText w:val="%6."/>
      <w:lvlJc w:val="right"/>
      <w:pPr>
        <w:ind w:left="4490" w:hanging="180"/>
      </w:pPr>
    </w:lvl>
    <w:lvl w:ilvl="6" w:tplc="4409000F" w:tentative="1">
      <w:start w:val="1"/>
      <w:numFmt w:val="decimal"/>
      <w:lvlText w:val="%7."/>
      <w:lvlJc w:val="left"/>
      <w:pPr>
        <w:ind w:left="5210" w:hanging="360"/>
      </w:pPr>
    </w:lvl>
    <w:lvl w:ilvl="7" w:tplc="44090019" w:tentative="1">
      <w:start w:val="1"/>
      <w:numFmt w:val="lowerLetter"/>
      <w:lvlText w:val="%8."/>
      <w:lvlJc w:val="left"/>
      <w:pPr>
        <w:ind w:left="5930" w:hanging="360"/>
      </w:pPr>
    </w:lvl>
    <w:lvl w:ilvl="8" w:tplc="4409001B" w:tentative="1">
      <w:start w:val="1"/>
      <w:numFmt w:val="lowerRoman"/>
      <w:lvlText w:val="%9."/>
      <w:lvlJc w:val="right"/>
      <w:pPr>
        <w:ind w:left="6650" w:hanging="180"/>
      </w:pPr>
    </w:lvl>
  </w:abstractNum>
  <w:abstractNum w:abstractNumId="5">
    <w:nsid w:val="19505906"/>
    <w:multiLevelType w:val="hybridMultilevel"/>
    <w:tmpl w:val="98940E44"/>
    <w:lvl w:ilvl="0" w:tplc="74068794">
      <w:start w:val="1"/>
      <w:numFmt w:val="lowerRoman"/>
      <w:lvlText w:val="%1."/>
      <w:lvlJc w:val="left"/>
      <w:pPr>
        <w:ind w:left="765" w:hanging="720"/>
      </w:pPr>
      <w:rPr>
        <w:rFonts w:hint="default"/>
      </w:rPr>
    </w:lvl>
    <w:lvl w:ilvl="1" w:tplc="44090019" w:tentative="1">
      <w:start w:val="1"/>
      <w:numFmt w:val="lowerLetter"/>
      <w:lvlText w:val="%2."/>
      <w:lvlJc w:val="left"/>
      <w:pPr>
        <w:ind w:left="1125" w:hanging="360"/>
      </w:pPr>
    </w:lvl>
    <w:lvl w:ilvl="2" w:tplc="4409001B" w:tentative="1">
      <w:start w:val="1"/>
      <w:numFmt w:val="lowerRoman"/>
      <w:lvlText w:val="%3."/>
      <w:lvlJc w:val="right"/>
      <w:pPr>
        <w:ind w:left="1845" w:hanging="180"/>
      </w:pPr>
    </w:lvl>
    <w:lvl w:ilvl="3" w:tplc="4409000F" w:tentative="1">
      <w:start w:val="1"/>
      <w:numFmt w:val="decimal"/>
      <w:lvlText w:val="%4."/>
      <w:lvlJc w:val="left"/>
      <w:pPr>
        <w:ind w:left="2565" w:hanging="360"/>
      </w:pPr>
    </w:lvl>
    <w:lvl w:ilvl="4" w:tplc="44090019" w:tentative="1">
      <w:start w:val="1"/>
      <w:numFmt w:val="lowerLetter"/>
      <w:lvlText w:val="%5."/>
      <w:lvlJc w:val="left"/>
      <w:pPr>
        <w:ind w:left="3285" w:hanging="360"/>
      </w:pPr>
    </w:lvl>
    <w:lvl w:ilvl="5" w:tplc="4409001B" w:tentative="1">
      <w:start w:val="1"/>
      <w:numFmt w:val="lowerRoman"/>
      <w:lvlText w:val="%6."/>
      <w:lvlJc w:val="right"/>
      <w:pPr>
        <w:ind w:left="4005" w:hanging="180"/>
      </w:pPr>
    </w:lvl>
    <w:lvl w:ilvl="6" w:tplc="4409000F" w:tentative="1">
      <w:start w:val="1"/>
      <w:numFmt w:val="decimal"/>
      <w:lvlText w:val="%7."/>
      <w:lvlJc w:val="left"/>
      <w:pPr>
        <w:ind w:left="4725" w:hanging="360"/>
      </w:pPr>
    </w:lvl>
    <w:lvl w:ilvl="7" w:tplc="44090019" w:tentative="1">
      <w:start w:val="1"/>
      <w:numFmt w:val="lowerLetter"/>
      <w:lvlText w:val="%8."/>
      <w:lvlJc w:val="left"/>
      <w:pPr>
        <w:ind w:left="5445" w:hanging="360"/>
      </w:pPr>
    </w:lvl>
    <w:lvl w:ilvl="8" w:tplc="4409001B" w:tentative="1">
      <w:start w:val="1"/>
      <w:numFmt w:val="lowerRoman"/>
      <w:lvlText w:val="%9."/>
      <w:lvlJc w:val="right"/>
      <w:pPr>
        <w:ind w:left="6165" w:hanging="180"/>
      </w:pPr>
    </w:lvl>
  </w:abstractNum>
  <w:abstractNum w:abstractNumId="6">
    <w:nsid w:val="2234607A"/>
    <w:multiLevelType w:val="hybridMultilevel"/>
    <w:tmpl w:val="05366130"/>
    <w:lvl w:ilvl="0" w:tplc="EF74E52A">
      <w:start w:val="1"/>
      <w:numFmt w:val="upperRoman"/>
      <w:lvlText w:val="%1."/>
      <w:lvlJc w:val="right"/>
      <w:pPr>
        <w:ind w:left="720" w:hanging="72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nsid w:val="2B1E5D49"/>
    <w:multiLevelType w:val="hybridMultilevel"/>
    <w:tmpl w:val="05721F54"/>
    <w:lvl w:ilvl="0" w:tplc="3426126C">
      <w:start w:val="1"/>
      <w:numFmt w:val="decimal"/>
      <w:lvlText w:val="%1."/>
      <w:lvlJc w:val="right"/>
      <w:pPr>
        <w:ind w:left="720" w:hanging="360"/>
      </w:pPr>
      <w:rPr>
        <w:rFonts w:hint="default"/>
      </w:rPr>
    </w:lvl>
    <w:lvl w:ilvl="1" w:tplc="36B2D718">
      <w:start w:val="1"/>
      <w:numFmt w:val="lowerLetter"/>
      <w:lvlText w:val="%2."/>
      <w:lvlJc w:val="left"/>
      <w:pPr>
        <w:ind w:left="1440" w:hanging="360"/>
      </w:pPr>
      <w:rPr>
        <w:b w:val="0"/>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nsid w:val="2C1430C3"/>
    <w:multiLevelType w:val="hybridMultilevel"/>
    <w:tmpl w:val="E528DAE8"/>
    <w:lvl w:ilvl="0" w:tplc="4409000F">
      <w:start w:val="1"/>
      <w:numFmt w:val="decimal"/>
      <w:lvlText w:val="%1."/>
      <w:lvlJc w:val="left"/>
      <w:pPr>
        <w:ind w:left="720" w:hanging="360"/>
      </w:pPr>
      <w:rPr>
        <w:rFonts w:hint="default"/>
        <w:b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nsid w:val="2CCF2D2C"/>
    <w:multiLevelType w:val="hybridMultilevel"/>
    <w:tmpl w:val="3E5A7B26"/>
    <w:lvl w:ilvl="0" w:tplc="44090019">
      <w:start w:val="1"/>
      <w:numFmt w:val="lowerLetter"/>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0">
    <w:nsid w:val="2EA370D7"/>
    <w:multiLevelType w:val="hybridMultilevel"/>
    <w:tmpl w:val="5F48B946"/>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nsid w:val="38F550F7"/>
    <w:multiLevelType w:val="hybridMultilevel"/>
    <w:tmpl w:val="A53C8284"/>
    <w:lvl w:ilvl="0" w:tplc="44090013">
      <w:start w:val="1"/>
      <w:numFmt w:val="upperRoman"/>
      <w:lvlText w:val="%1."/>
      <w:lvlJc w:val="righ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nsid w:val="3A354084"/>
    <w:multiLevelType w:val="hybridMultilevel"/>
    <w:tmpl w:val="D5E0796C"/>
    <w:lvl w:ilvl="0" w:tplc="B20AA5FA">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nsid w:val="3C7D5A69"/>
    <w:multiLevelType w:val="hybridMultilevel"/>
    <w:tmpl w:val="C218AF86"/>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nsid w:val="40431A7E"/>
    <w:multiLevelType w:val="hybridMultilevel"/>
    <w:tmpl w:val="126E6BA2"/>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5">
    <w:nsid w:val="41E356B2"/>
    <w:multiLevelType w:val="hybridMultilevel"/>
    <w:tmpl w:val="84A64EB4"/>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nsid w:val="41F503B6"/>
    <w:multiLevelType w:val="hybridMultilevel"/>
    <w:tmpl w:val="12828A6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nsid w:val="48412EF3"/>
    <w:multiLevelType w:val="hybridMultilevel"/>
    <w:tmpl w:val="D7A67596"/>
    <w:lvl w:ilvl="0" w:tplc="26AE4F48">
      <w:numFmt w:val="bullet"/>
      <w:lvlText w:val=""/>
      <w:lvlJc w:val="left"/>
      <w:pPr>
        <w:ind w:left="720" w:hanging="360"/>
      </w:pPr>
      <w:rPr>
        <w:rFonts w:ascii="Symbol" w:eastAsia="Times New Roman" w:hAnsi="Symbol"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nsid w:val="52D50854"/>
    <w:multiLevelType w:val="hybridMultilevel"/>
    <w:tmpl w:val="6C90591A"/>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9">
    <w:nsid w:val="60C65C3E"/>
    <w:multiLevelType w:val="hybridMultilevel"/>
    <w:tmpl w:val="87B81B3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nsid w:val="611814DF"/>
    <w:multiLevelType w:val="hybridMultilevel"/>
    <w:tmpl w:val="5F48B946"/>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nsid w:val="658601B1"/>
    <w:multiLevelType w:val="hybridMultilevel"/>
    <w:tmpl w:val="93C09D7E"/>
    <w:lvl w:ilvl="0" w:tplc="4409000F">
      <w:start w:val="1"/>
      <w:numFmt w:val="decimal"/>
      <w:lvlText w:val="%1."/>
      <w:lvlJc w:val="left"/>
      <w:pPr>
        <w:ind w:left="360" w:hanging="360"/>
      </w:pPr>
      <w:rPr>
        <w:rFonts w:hint="default"/>
        <w:b w:val="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2">
    <w:nsid w:val="6AC564BB"/>
    <w:multiLevelType w:val="hybridMultilevel"/>
    <w:tmpl w:val="5F48B946"/>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nsid w:val="6B3F2946"/>
    <w:multiLevelType w:val="multilevel"/>
    <w:tmpl w:val="44090025"/>
    <w:lvl w:ilvl="0">
      <w:start w:val="1"/>
      <w:numFmt w:val="decimal"/>
      <w:lvlText w:val="%1"/>
      <w:lvlJc w:val="left"/>
      <w:pPr>
        <w:ind w:left="432" w:hanging="432"/>
      </w:pPr>
    </w:lvl>
    <w:lvl w:ilvl="1">
      <w:start w:val="1"/>
      <w:numFmt w:val="decimal"/>
      <w:lvlText w:val="%1.%2"/>
      <w:lvlJc w:val="left"/>
      <w:pPr>
        <w:ind w:left="576" w:hanging="576"/>
      </w:pPr>
      <w:rPr>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71483548"/>
    <w:multiLevelType w:val="hybridMultilevel"/>
    <w:tmpl w:val="1E4E223C"/>
    <w:lvl w:ilvl="0" w:tplc="4409000F">
      <w:start w:val="3"/>
      <w:numFmt w:val="decimal"/>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nsid w:val="74AD6A81"/>
    <w:multiLevelType w:val="hybridMultilevel"/>
    <w:tmpl w:val="8DA20B1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nsid w:val="78CA2F93"/>
    <w:multiLevelType w:val="hybridMultilevel"/>
    <w:tmpl w:val="4A6A567C"/>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7">
    <w:nsid w:val="7B040B5B"/>
    <w:multiLevelType w:val="hybridMultilevel"/>
    <w:tmpl w:val="B51CA0DA"/>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1"/>
  </w:num>
  <w:num w:numId="2">
    <w:abstractNumId w:val="14"/>
  </w:num>
  <w:num w:numId="3">
    <w:abstractNumId w:val="27"/>
  </w:num>
  <w:num w:numId="4">
    <w:abstractNumId w:val="17"/>
  </w:num>
  <w:num w:numId="5">
    <w:abstractNumId w:val="16"/>
  </w:num>
  <w:num w:numId="6">
    <w:abstractNumId w:val="18"/>
  </w:num>
  <w:num w:numId="7">
    <w:abstractNumId w:val="19"/>
  </w:num>
  <w:num w:numId="8">
    <w:abstractNumId w:val="26"/>
  </w:num>
  <w:num w:numId="9">
    <w:abstractNumId w:val="23"/>
  </w:num>
  <w:num w:numId="10">
    <w:abstractNumId w:val="12"/>
  </w:num>
  <w:num w:numId="11">
    <w:abstractNumId w:val="25"/>
  </w:num>
  <w:num w:numId="12">
    <w:abstractNumId w:val="5"/>
  </w:num>
  <w:num w:numId="13">
    <w:abstractNumId w:val="4"/>
  </w:num>
  <w:num w:numId="14">
    <w:abstractNumId w:val="0"/>
  </w:num>
  <w:num w:numId="15">
    <w:abstractNumId w:val="15"/>
  </w:num>
  <w:num w:numId="16">
    <w:abstractNumId w:val="7"/>
  </w:num>
  <w:num w:numId="17">
    <w:abstractNumId w:val="6"/>
  </w:num>
  <w:num w:numId="18">
    <w:abstractNumId w:val="24"/>
  </w:num>
  <w:num w:numId="19">
    <w:abstractNumId w:val="3"/>
  </w:num>
  <w:num w:numId="20">
    <w:abstractNumId w:val="11"/>
  </w:num>
  <w:num w:numId="21">
    <w:abstractNumId w:val="21"/>
  </w:num>
  <w:num w:numId="22">
    <w:abstractNumId w:val="2"/>
  </w:num>
  <w:num w:numId="23">
    <w:abstractNumId w:val="13"/>
  </w:num>
  <w:num w:numId="24">
    <w:abstractNumId w:val="22"/>
  </w:num>
  <w:num w:numId="25">
    <w:abstractNumId w:val="20"/>
  </w:num>
  <w:num w:numId="26">
    <w:abstractNumId w:val="10"/>
  </w:num>
  <w:num w:numId="27">
    <w:abstractNumId w:val="8"/>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251"/>
    <w:rsid w:val="000131F9"/>
    <w:rsid w:val="0003437E"/>
    <w:rsid w:val="00044E5D"/>
    <w:rsid w:val="0007579D"/>
    <w:rsid w:val="00082B58"/>
    <w:rsid w:val="000C41F6"/>
    <w:rsid w:val="00110BB0"/>
    <w:rsid w:val="00117202"/>
    <w:rsid w:val="00136B24"/>
    <w:rsid w:val="00147231"/>
    <w:rsid w:val="001541EE"/>
    <w:rsid w:val="00173424"/>
    <w:rsid w:val="00173736"/>
    <w:rsid w:val="00174DFD"/>
    <w:rsid w:val="00175D88"/>
    <w:rsid w:val="001903E4"/>
    <w:rsid w:val="001B650A"/>
    <w:rsid w:val="001C44EF"/>
    <w:rsid w:val="001C6296"/>
    <w:rsid w:val="001D6B62"/>
    <w:rsid w:val="001E4E43"/>
    <w:rsid w:val="001F4604"/>
    <w:rsid w:val="00203BBC"/>
    <w:rsid w:val="00225431"/>
    <w:rsid w:val="002814B9"/>
    <w:rsid w:val="002B3B87"/>
    <w:rsid w:val="002E15D2"/>
    <w:rsid w:val="002E25BF"/>
    <w:rsid w:val="002F2C20"/>
    <w:rsid w:val="00306509"/>
    <w:rsid w:val="0032382B"/>
    <w:rsid w:val="00324BE6"/>
    <w:rsid w:val="00325887"/>
    <w:rsid w:val="003312B3"/>
    <w:rsid w:val="00366A7F"/>
    <w:rsid w:val="0037401B"/>
    <w:rsid w:val="003753BB"/>
    <w:rsid w:val="00392E67"/>
    <w:rsid w:val="003C27F0"/>
    <w:rsid w:val="003C4F05"/>
    <w:rsid w:val="003D04AB"/>
    <w:rsid w:val="003D52C8"/>
    <w:rsid w:val="003F7A51"/>
    <w:rsid w:val="00417733"/>
    <w:rsid w:val="00440998"/>
    <w:rsid w:val="00452C10"/>
    <w:rsid w:val="00466D6C"/>
    <w:rsid w:val="00494F63"/>
    <w:rsid w:val="004C5BE0"/>
    <w:rsid w:val="004C5CAF"/>
    <w:rsid w:val="004D156A"/>
    <w:rsid w:val="004F5299"/>
    <w:rsid w:val="00506FB0"/>
    <w:rsid w:val="00516E9C"/>
    <w:rsid w:val="005207A1"/>
    <w:rsid w:val="00527854"/>
    <w:rsid w:val="00537EE4"/>
    <w:rsid w:val="00542A08"/>
    <w:rsid w:val="0054555A"/>
    <w:rsid w:val="00556194"/>
    <w:rsid w:val="00557451"/>
    <w:rsid w:val="005771C9"/>
    <w:rsid w:val="005966A5"/>
    <w:rsid w:val="005D31F9"/>
    <w:rsid w:val="005E1755"/>
    <w:rsid w:val="005E6F89"/>
    <w:rsid w:val="00602619"/>
    <w:rsid w:val="0060375C"/>
    <w:rsid w:val="00610B35"/>
    <w:rsid w:val="00612BBB"/>
    <w:rsid w:val="00643538"/>
    <w:rsid w:val="00644A3A"/>
    <w:rsid w:val="00647273"/>
    <w:rsid w:val="00654E76"/>
    <w:rsid w:val="00677689"/>
    <w:rsid w:val="00680E93"/>
    <w:rsid w:val="006A0491"/>
    <w:rsid w:val="006A6C26"/>
    <w:rsid w:val="006C3A0A"/>
    <w:rsid w:val="006C4DD0"/>
    <w:rsid w:val="006D1BDD"/>
    <w:rsid w:val="006E2852"/>
    <w:rsid w:val="006E2DCC"/>
    <w:rsid w:val="007548B0"/>
    <w:rsid w:val="007646EE"/>
    <w:rsid w:val="007700F5"/>
    <w:rsid w:val="00784114"/>
    <w:rsid w:val="00786827"/>
    <w:rsid w:val="007D5524"/>
    <w:rsid w:val="007D789A"/>
    <w:rsid w:val="00806160"/>
    <w:rsid w:val="0083534D"/>
    <w:rsid w:val="0083552B"/>
    <w:rsid w:val="00893730"/>
    <w:rsid w:val="00893A5E"/>
    <w:rsid w:val="008B2C92"/>
    <w:rsid w:val="008C0361"/>
    <w:rsid w:val="008D7C59"/>
    <w:rsid w:val="00905192"/>
    <w:rsid w:val="00914326"/>
    <w:rsid w:val="00915CC6"/>
    <w:rsid w:val="00947F39"/>
    <w:rsid w:val="00953B3F"/>
    <w:rsid w:val="009874C6"/>
    <w:rsid w:val="00992FFC"/>
    <w:rsid w:val="009D5ECC"/>
    <w:rsid w:val="009E02DE"/>
    <w:rsid w:val="009F0927"/>
    <w:rsid w:val="00A15B09"/>
    <w:rsid w:val="00A255AF"/>
    <w:rsid w:val="00A51059"/>
    <w:rsid w:val="00A81DF6"/>
    <w:rsid w:val="00A82BBD"/>
    <w:rsid w:val="00A86A4E"/>
    <w:rsid w:val="00A86B74"/>
    <w:rsid w:val="00AA7F27"/>
    <w:rsid w:val="00AB69AB"/>
    <w:rsid w:val="00AC1C15"/>
    <w:rsid w:val="00AD2C92"/>
    <w:rsid w:val="00AD39DA"/>
    <w:rsid w:val="00AE4F3D"/>
    <w:rsid w:val="00AE50D6"/>
    <w:rsid w:val="00AF3B81"/>
    <w:rsid w:val="00B17897"/>
    <w:rsid w:val="00B5673F"/>
    <w:rsid w:val="00B73E28"/>
    <w:rsid w:val="00BB4841"/>
    <w:rsid w:val="00BC2960"/>
    <w:rsid w:val="00C01730"/>
    <w:rsid w:val="00C03116"/>
    <w:rsid w:val="00C14E82"/>
    <w:rsid w:val="00C521FF"/>
    <w:rsid w:val="00C52563"/>
    <w:rsid w:val="00C8082C"/>
    <w:rsid w:val="00C915FF"/>
    <w:rsid w:val="00C9380F"/>
    <w:rsid w:val="00C96A22"/>
    <w:rsid w:val="00CA3736"/>
    <w:rsid w:val="00CC0ADC"/>
    <w:rsid w:val="00CD0D10"/>
    <w:rsid w:val="00CD3BBE"/>
    <w:rsid w:val="00CF0251"/>
    <w:rsid w:val="00CF3A27"/>
    <w:rsid w:val="00D32E57"/>
    <w:rsid w:val="00D368FB"/>
    <w:rsid w:val="00D37B65"/>
    <w:rsid w:val="00D54A43"/>
    <w:rsid w:val="00D85ABA"/>
    <w:rsid w:val="00D92F5D"/>
    <w:rsid w:val="00D973EA"/>
    <w:rsid w:val="00DC7508"/>
    <w:rsid w:val="00E018B5"/>
    <w:rsid w:val="00E03195"/>
    <w:rsid w:val="00E07FA5"/>
    <w:rsid w:val="00E170DE"/>
    <w:rsid w:val="00E2437C"/>
    <w:rsid w:val="00E47A65"/>
    <w:rsid w:val="00E52321"/>
    <w:rsid w:val="00E71BC4"/>
    <w:rsid w:val="00E74416"/>
    <w:rsid w:val="00E74E4F"/>
    <w:rsid w:val="00E83BEA"/>
    <w:rsid w:val="00E93018"/>
    <w:rsid w:val="00EA70E2"/>
    <w:rsid w:val="00EC1BF1"/>
    <w:rsid w:val="00ED2EA2"/>
    <w:rsid w:val="00EE5E50"/>
    <w:rsid w:val="00EE6D7D"/>
    <w:rsid w:val="00EF18F2"/>
    <w:rsid w:val="00F51868"/>
    <w:rsid w:val="00F54266"/>
    <w:rsid w:val="00F73130"/>
    <w:rsid w:val="00F82900"/>
    <w:rsid w:val="00FB1C5A"/>
    <w:rsid w:val="00FB4C99"/>
    <w:rsid w:val="00FE3EEE"/>
    <w:rsid w:val="00FE48D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6E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2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251"/>
  </w:style>
  <w:style w:type="paragraph" w:styleId="Footer">
    <w:name w:val="footer"/>
    <w:basedOn w:val="Normal"/>
    <w:link w:val="FooterChar"/>
    <w:uiPriority w:val="99"/>
    <w:unhideWhenUsed/>
    <w:rsid w:val="00CF02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251"/>
  </w:style>
  <w:style w:type="character" w:customStyle="1" w:styleId="PlainTextChar">
    <w:name w:val="Plain Text Char"/>
    <w:link w:val="PlainText"/>
    <w:semiHidden/>
    <w:locked/>
    <w:rsid w:val="00F73130"/>
    <w:rPr>
      <w:szCs w:val="21"/>
    </w:rPr>
  </w:style>
  <w:style w:type="paragraph" w:styleId="PlainText">
    <w:name w:val="Plain Text"/>
    <w:basedOn w:val="Normal"/>
    <w:link w:val="PlainTextChar"/>
    <w:semiHidden/>
    <w:rsid w:val="00F73130"/>
    <w:pPr>
      <w:spacing w:after="0" w:line="240" w:lineRule="auto"/>
    </w:pPr>
    <w:rPr>
      <w:sz w:val="20"/>
      <w:szCs w:val="21"/>
      <w:lang w:eastAsia="en-MY"/>
    </w:rPr>
  </w:style>
  <w:style w:type="character" w:customStyle="1" w:styleId="PlainTextChar1">
    <w:name w:val="Plain Text Char1"/>
    <w:uiPriority w:val="99"/>
    <w:semiHidden/>
    <w:rsid w:val="00F73130"/>
    <w:rPr>
      <w:rFonts w:ascii="Courier New" w:hAnsi="Courier New" w:cs="Courier New"/>
      <w:lang w:eastAsia="en-US"/>
    </w:rPr>
  </w:style>
  <w:style w:type="paragraph" w:styleId="ListParagraph">
    <w:name w:val="List Paragraph"/>
    <w:basedOn w:val="Normal"/>
    <w:uiPriority w:val="34"/>
    <w:qFormat/>
    <w:rsid w:val="0054555A"/>
    <w:pPr>
      <w:ind w:left="720"/>
      <w:contextualSpacing/>
    </w:pPr>
  </w:style>
  <w:style w:type="table" w:styleId="TableGrid">
    <w:name w:val="Table Grid"/>
    <w:basedOn w:val="TableNormal"/>
    <w:uiPriority w:val="59"/>
    <w:rsid w:val="00506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2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C9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6E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2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251"/>
  </w:style>
  <w:style w:type="paragraph" w:styleId="Footer">
    <w:name w:val="footer"/>
    <w:basedOn w:val="Normal"/>
    <w:link w:val="FooterChar"/>
    <w:uiPriority w:val="99"/>
    <w:unhideWhenUsed/>
    <w:rsid w:val="00CF02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251"/>
  </w:style>
  <w:style w:type="character" w:customStyle="1" w:styleId="PlainTextChar">
    <w:name w:val="Plain Text Char"/>
    <w:link w:val="PlainText"/>
    <w:semiHidden/>
    <w:locked/>
    <w:rsid w:val="00F73130"/>
    <w:rPr>
      <w:szCs w:val="21"/>
    </w:rPr>
  </w:style>
  <w:style w:type="paragraph" w:styleId="PlainText">
    <w:name w:val="Plain Text"/>
    <w:basedOn w:val="Normal"/>
    <w:link w:val="PlainTextChar"/>
    <w:semiHidden/>
    <w:rsid w:val="00F73130"/>
    <w:pPr>
      <w:spacing w:after="0" w:line="240" w:lineRule="auto"/>
    </w:pPr>
    <w:rPr>
      <w:sz w:val="20"/>
      <w:szCs w:val="21"/>
      <w:lang w:eastAsia="en-MY"/>
    </w:rPr>
  </w:style>
  <w:style w:type="character" w:customStyle="1" w:styleId="PlainTextChar1">
    <w:name w:val="Plain Text Char1"/>
    <w:uiPriority w:val="99"/>
    <w:semiHidden/>
    <w:rsid w:val="00F73130"/>
    <w:rPr>
      <w:rFonts w:ascii="Courier New" w:hAnsi="Courier New" w:cs="Courier New"/>
      <w:lang w:eastAsia="en-US"/>
    </w:rPr>
  </w:style>
  <w:style w:type="paragraph" w:styleId="ListParagraph">
    <w:name w:val="List Paragraph"/>
    <w:basedOn w:val="Normal"/>
    <w:uiPriority w:val="34"/>
    <w:qFormat/>
    <w:rsid w:val="0054555A"/>
    <w:pPr>
      <w:ind w:left="720"/>
      <w:contextualSpacing/>
    </w:pPr>
  </w:style>
  <w:style w:type="table" w:styleId="TableGrid">
    <w:name w:val="Table Grid"/>
    <w:basedOn w:val="TableNormal"/>
    <w:uiPriority w:val="59"/>
    <w:rsid w:val="00506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2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C9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078107">
      <w:bodyDiv w:val="1"/>
      <w:marLeft w:val="0"/>
      <w:marRight w:val="0"/>
      <w:marTop w:val="0"/>
      <w:marBottom w:val="0"/>
      <w:divBdr>
        <w:top w:val="none" w:sz="0" w:space="0" w:color="auto"/>
        <w:left w:val="none" w:sz="0" w:space="0" w:color="auto"/>
        <w:bottom w:val="none" w:sz="0" w:space="0" w:color="auto"/>
        <w:right w:val="none" w:sz="0" w:space="0" w:color="auto"/>
      </w:divBdr>
    </w:div>
    <w:div w:id="214553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27D81-ADF9-44F0-A56A-948A7E97C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1901</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Saiful</dc:creator>
  <cp:lastModifiedBy>Saiful</cp:lastModifiedBy>
  <cp:revision>2</cp:revision>
  <cp:lastPrinted>2018-09-18T09:28:00Z</cp:lastPrinted>
  <dcterms:created xsi:type="dcterms:W3CDTF">2018-10-04T10:38:00Z</dcterms:created>
  <dcterms:modified xsi:type="dcterms:W3CDTF">2018-10-04T10:38:00Z</dcterms:modified>
</cp:coreProperties>
</file>